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A0" w:rsidRPr="00005063" w:rsidRDefault="00A853A0" w:rsidP="00A853A0">
      <w:pPr>
        <w:widowControl w:val="0"/>
        <w:tabs>
          <w:tab w:val="left" w:pos="7088"/>
        </w:tabs>
        <w:jc w:val="center"/>
        <w:rPr>
          <w:b w:val="0"/>
          <w:bCs w:val="0"/>
        </w:rPr>
      </w:pPr>
      <w:bookmarkStart w:id="0" w:name="_GoBack"/>
      <w:bookmarkEnd w:id="0"/>
    </w:p>
    <w:p w:rsidR="00A853A0" w:rsidRPr="00005063" w:rsidRDefault="00A853A0" w:rsidP="00A853A0">
      <w:pPr>
        <w:widowControl w:val="0"/>
        <w:jc w:val="right"/>
        <w:rPr>
          <w:bCs w:val="0"/>
        </w:rPr>
      </w:pPr>
    </w:p>
    <w:p w:rsidR="00A853A0" w:rsidRPr="00005063" w:rsidRDefault="00A853A0" w:rsidP="00A853A0">
      <w:pPr>
        <w:widowControl w:val="0"/>
        <w:jc w:val="center"/>
        <w:rPr>
          <w:bCs w:val="0"/>
          <w:sz w:val="32"/>
          <w:szCs w:val="32"/>
        </w:rPr>
      </w:pPr>
      <w:r w:rsidRPr="00005063">
        <w:rPr>
          <w:bCs w:val="0"/>
          <w:sz w:val="32"/>
          <w:szCs w:val="32"/>
        </w:rPr>
        <w:t>П О С Т А Н О В Л Е Н И Е</w:t>
      </w:r>
    </w:p>
    <w:p w:rsidR="00A853A0" w:rsidRPr="00005063" w:rsidRDefault="00A853A0" w:rsidP="00A853A0">
      <w:pPr>
        <w:widowControl w:val="0"/>
        <w:jc w:val="center"/>
        <w:rPr>
          <w:b w:val="0"/>
          <w:bCs w:val="0"/>
        </w:rPr>
      </w:pPr>
    </w:p>
    <w:p w:rsidR="00A853A0" w:rsidRPr="00005063" w:rsidRDefault="00A853A0" w:rsidP="00A853A0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 xml:space="preserve">АДМИНИСТРАЦИИ АНДРОПОВСКОГО МУНИЦИПАЛЬНОГО </w:t>
      </w:r>
      <w:r>
        <w:rPr>
          <w:b w:val="0"/>
          <w:bCs w:val="0"/>
          <w:sz w:val="24"/>
          <w:szCs w:val="24"/>
        </w:rPr>
        <w:t>ОКРУГА</w:t>
      </w:r>
    </w:p>
    <w:p w:rsidR="00A853A0" w:rsidRPr="00005063" w:rsidRDefault="00A853A0" w:rsidP="00A853A0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>СТАВРОПОЛЬСКОГО КРАЯ</w:t>
      </w:r>
    </w:p>
    <w:p w:rsidR="00A853A0" w:rsidRPr="00005063" w:rsidRDefault="00A853A0" w:rsidP="00A853A0">
      <w:pPr>
        <w:widowControl w:val="0"/>
        <w:spacing w:line="240" w:lineRule="exact"/>
        <w:jc w:val="center"/>
        <w:rPr>
          <w:b w:val="0"/>
          <w:bCs w:val="0"/>
        </w:rPr>
      </w:pPr>
    </w:p>
    <w:p w:rsidR="00A853A0" w:rsidRPr="00005063" w:rsidRDefault="00373506" w:rsidP="00A853A0">
      <w:pPr>
        <w:rPr>
          <w:b w:val="0"/>
          <w:bCs w:val="0"/>
        </w:rPr>
      </w:pPr>
      <w:r>
        <w:rPr>
          <w:b w:val="0"/>
          <w:bCs w:val="0"/>
          <w:color w:val="000000"/>
        </w:rPr>
        <w:t>16 ноября</w:t>
      </w:r>
      <w:r w:rsidR="00AB3AEF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2022 г.                 </w:t>
      </w:r>
      <w:r w:rsidR="00A853A0" w:rsidRPr="00005063">
        <w:rPr>
          <w:b w:val="0"/>
          <w:bCs w:val="0"/>
          <w:color w:val="000000"/>
        </w:rPr>
        <w:t xml:space="preserve"> </w:t>
      </w:r>
      <w:r w:rsidR="00A853A0">
        <w:rPr>
          <w:b w:val="0"/>
          <w:bCs w:val="0"/>
          <w:color w:val="000000"/>
        </w:rPr>
        <w:t xml:space="preserve">   </w:t>
      </w:r>
      <w:r w:rsidR="00A853A0" w:rsidRPr="00005063">
        <w:rPr>
          <w:b w:val="0"/>
          <w:bCs w:val="0"/>
          <w:color w:val="000000"/>
        </w:rPr>
        <w:t xml:space="preserve">      с. Курсавк</w:t>
      </w:r>
      <w:r w:rsidR="00A853A0">
        <w:rPr>
          <w:b w:val="0"/>
          <w:bCs w:val="0"/>
          <w:color w:val="000000"/>
        </w:rPr>
        <w:t xml:space="preserve">а                                    </w:t>
      </w:r>
      <w:r w:rsidR="00A853A0" w:rsidRPr="00005063">
        <w:rPr>
          <w:b w:val="0"/>
          <w:bCs w:val="0"/>
          <w:color w:val="000000"/>
        </w:rPr>
        <w:t xml:space="preserve">          № </w:t>
      </w:r>
      <w:r>
        <w:rPr>
          <w:b w:val="0"/>
          <w:bCs w:val="0"/>
          <w:color w:val="000000"/>
        </w:rPr>
        <w:t>812</w:t>
      </w:r>
    </w:p>
    <w:p w:rsidR="00A853A0" w:rsidRPr="00005063" w:rsidRDefault="00A853A0" w:rsidP="00A853A0">
      <w:pPr>
        <w:widowControl w:val="0"/>
        <w:spacing w:line="240" w:lineRule="exact"/>
        <w:jc w:val="both"/>
        <w:rPr>
          <w:b w:val="0"/>
          <w:bCs w:val="0"/>
        </w:rPr>
      </w:pPr>
    </w:p>
    <w:p w:rsidR="00A853A0" w:rsidRPr="00BB2FD5" w:rsidRDefault="00A853A0" w:rsidP="00A853A0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A853A0" w:rsidRPr="00BB2FD5" w:rsidRDefault="00A853A0" w:rsidP="00A853A0">
      <w:pPr>
        <w:widowControl w:val="0"/>
        <w:spacing w:line="240" w:lineRule="exact"/>
        <w:jc w:val="both"/>
        <w:rPr>
          <w:b w:val="0"/>
        </w:rPr>
      </w:pPr>
    </w:p>
    <w:p w:rsidR="00A853A0" w:rsidRPr="00376147" w:rsidRDefault="00A853A0" w:rsidP="00A853A0">
      <w:pPr>
        <w:widowControl w:val="0"/>
        <w:ind w:firstLine="709"/>
        <w:rPr>
          <w:b w:val="0"/>
        </w:rPr>
      </w:pPr>
    </w:p>
    <w:p w:rsidR="00A853A0" w:rsidRPr="00376147" w:rsidRDefault="00A853A0" w:rsidP="00A853A0">
      <w:pPr>
        <w:widowControl w:val="0"/>
        <w:ind w:firstLine="709"/>
        <w:jc w:val="both"/>
        <w:rPr>
          <w:b w:val="0"/>
        </w:rPr>
      </w:pPr>
      <w:r w:rsidRPr="00376147">
        <w:rPr>
          <w:b w:val="0"/>
        </w:rPr>
        <w:t xml:space="preserve">В соответствии с решением Совета Андроповского муниципального округа Ставропольского края </w:t>
      </w:r>
      <w:r w:rsidR="00FF1AA7">
        <w:rPr>
          <w:b w:val="0"/>
        </w:rPr>
        <w:t xml:space="preserve">от </w:t>
      </w:r>
      <w:r w:rsidR="004A5F72">
        <w:rPr>
          <w:b w:val="0"/>
          <w:color w:val="000000"/>
          <w:shd w:val="clear" w:color="auto" w:fill="FFFFFF"/>
        </w:rPr>
        <w:t xml:space="preserve">14 октября </w:t>
      </w:r>
      <w:r w:rsidR="00FF1AA7">
        <w:rPr>
          <w:b w:val="0"/>
          <w:color w:val="000000"/>
          <w:shd w:val="clear" w:color="auto" w:fill="FFFFFF"/>
        </w:rPr>
        <w:t>2022</w:t>
      </w:r>
      <w:r w:rsidR="004A5F72">
        <w:rPr>
          <w:b w:val="0"/>
          <w:color w:val="000000"/>
          <w:shd w:val="clear" w:color="auto" w:fill="FFFFFF"/>
        </w:rPr>
        <w:t xml:space="preserve"> г.</w:t>
      </w:r>
      <w:r w:rsidR="00FF1AA7">
        <w:rPr>
          <w:b w:val="0"/>
          <w:color w:val="000000"/>
          <w:shd w:val="clear" w:color="auto" w:fill="FFFFFF"/>
        </w:rPr>
        <w:t xml:space="preserve"> №</w:t>
      </w:r>
      <w:r w:rsidR="004A5F72">
        <w:rPr>
          <w:b w:val="0"/>
          <w:color w:val="000000"/>
          <w:shd w:val="clear" w:color="auto" w:fill="FFFFFF"/>
        </w:rPr>
        <w:t xml:space="preserve"> </w:t>
      </w:r>
      <w:r w:rsidR="00FF1AA7">
        <w:rPr>
          <w:b w:val="0"/>
          <w:color w:val="000000"/>
          <w:shd w:val="clear" w:color="auto" w:fill="FFFFFF"/>
        </w:rPr>
        <w:t>27/311-1 «</w:t>
      </w:r>
      <w:r w:rsidR="00FF1AA7" w:rsidRPr="00FF1AA7">
        <w:rPr>
          <w:b w:val="0"/>
          <w:color w:val="000000"/>
          <w:shd w:val="clear" w:color="auto" w:fill="FFFFFF"/>
        </w:rPr>
        <w:t>О внесении изменений и дополнений в решение Совета Андроповского муниципального округа Ставропольско</w:t>
      </w:r>
      <w:r w:rsidR="004A5F72">
        <w:rPr>
          <w:b w:val="0"/>
          <w:color w:val="000000"/>
          <w:shd w:val="clear" w:color="auto" w:fill="FFFFFF"/>
        </w:rPr>
        <w:t xml:space="preserve">го края от 15 декабря 2021 года </w:t>
      </w:r>
      <w:r w:rsidR="00FF1AA7" w:rsidRPr="00FF1AA7">
        <w:rPr>
          <w:b w:val="0"/>
          <w:color w:val="000000"/>
          <w:shd w:val="clear" w:color="auto" w:fill="FFFFFF"/>
        </w:rPr>
        <w:t>№ 16/222-1 «О бюдж</w:t>
      </w:r>
      <w:r w:rsidR="00FF1AA7" w:rsidRPr="00FF1AA7">
        <w:rPr>
          <w:b w:val="0"/>
          <w:color w:val="000000"/>
          <w:shd w:val="clear" w:color="auto" w:fill="FFFFFF"/>
        </w:rPr>
        <w:t>е</w:t>
      </w:r>
      <w:r w:rsidR="00FF1AA7" w:rsidRPr="00FF1AA7">
        <w:rPr>
          <w:b w:val="0"/>
          <w:color w:val="000000"/>
          <w:shd w:val="clear" w:color="auto" w:fill="FFFFFF"/>
        </w:rPr>
        <w:t xml:space="preserve">те Андроповского муниципального округа Ставропольского края на 2022 год и плановый </w:t>
      </w:r>
      <w:r w:rsidR="00FF1AA7">
        <w:rPr>
          <w:b w:val="0"/>
          <w:color w:val="000000"/>
          <w:shd w:val="clear" w:color="auto" w:fill="FFFFFF"/>
        </w:rPr>
        <w:t>период 2023 и 2024 годов»</w:t>
      </w:r>
      <w:r w:rsidRPr="00FF1AA7">
        <w:rPr>
          <w:b w:val="0"/>
        </w:rPr>
        <w:t xml:space="preserve"> </w:t>
      </w:r>
      <w:r w:rsidRPr="00376147">
        <w:rPr>
          <w:b w:val="0"/>
        </w:rPr>
        <w:t>администрация Андроповского мун</w:t>
      </w:r>
      <w:r w:rsidRPr="00376147">
        <w:rPr>
          <w:b w:val="0"/>
        </w:rPr>
        <w:t>и</w:t>
      </w:r>
      <w:r w:rsidRPr="00376147">
        <w:rPr>
          <w:b w:val="0"/>
        </w:rPr>
        <w:t>ципального округа Ставропольского края</w:t>
      </w:r>
    </w:p>
    <w:p w:rsidR="00A853A0" w:rsidRPr="00376147" w:rsidRDefault="00A853A0" w:rsidP="00A853A0">
      <w:pPr>
        <w:widowControl w:val="0"/>
        <w:ind w:firstLine="709"/>
        <w:jc w:val="both"/>
        <w:rPr>
          <w:b w:val="0"/>
        </w:rPr>
      </w:pPr>
    </w:p>
    <w:p w:rsidR="00A853A0" w:rsidRPr="00543F5F" w:rsidRDefault="00A853A0" w:rsidP="00A853A0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A853A0" w:rsidRPr="00BB2FD5" w:rsidRDefault="00A853A0" w:rsidP="00A853A0">
      <w:pPr>
        <w:widowControl w:val="0"/>
        <w:jc w:val="both"/>
        <w:rPr>
          <w:b w:val="0"/>
        </w:rPr>
      </w:pPr>
    </w:p>
    <w:p w:rsidR="00A853A0" w:rsidRDefault="00A853A0" w:rsidP="00A853A0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 (далее - Программа), утве</w:t>
      </w:r>
      <w:r w:rsidRPr="00BB2FD5">
        <w:rPr>
          <w:b w:val="0"/>
        </w:rPr>
        <w:t>р</w:t>
      </w:r>
      <w:r w:rsidRPr="00BB2FD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>польского края «Формирование здорового образа жизни населения, реализ</w:t>
      </w:r>
      <w:r w:rsidRPr="00BB2FD5">
        <w:rPr>
          <w:b w:val="0"/>
        </w:rPr>
        <w:t>а</w:t>
      </w:r>
      <w:r w:rsidRPr="00BB2FD5">
        <w:rPr>
          <w:b w:val="0"/>
        </w:rPr>
        <w:t xml:space="preserve">ция молодежной политики» (с изменениями, внесенными постановлениями администрации Андроповского муниципального округа Ставропольского края от </w:t>
      </w:r>
      <w:r>
        <w:rPr>
          <w:b w:val="0"/>
        </w:rPr>
        <w:t>14 июня 2022</w:t>
      </w:r>
      <w:r w:rsidRPr="00BB2FD5">
        <w:rPr>
          <w:b w:val="0"/>
        </w:rPr>
        <w:t xml:space="preserve"> г. № </w:t>
      </w:r>
      <w:r>
        <w:rPr>
          <w:b w:val="0"/>
        </w:rPr>
        <w:t>431</w:t>
      </w:r>
      <w:r w:rsidR="00373506">
        <w:rPr>
          <w:b w:val="0"/>
        </w:rPr>
        <w:t>, от 18 августа 2022 г. № 590</w:t>
      </w:r>
      <w:r w:rsidRPr="00BB2FD5">
        <w:rPr>
          <w:b w:val="0"/>
        </w:rPr>
        <w:t xml:space="preserve">) </w:t>
      </w:r>
      <w:r>
        <w:rPr>
          <w:b w:val="0"/>
        </w:rPr>
        <w:t xml:space="preserve">следующие </w:t>
      </w:r>
      <w:r w:rsidRPr="00BB2FD5">
        <w:rPr>
          <w:b w:val="0"/>
        </w:rPr>
        <w:t>и</w:t>
      </w:r>
      <w:r w:rsidRPr="00BB2FD5">
        <w:rPr>
          <w:b w:val="0"/>
        </w:rPr>
        <w:t>з</w:t>
      </w:r>
      <w:r w:rsidRPr="00BB2FD5">
        <w:rPr>
          <w:b w:val="0"/>
        </w:rPr>
        <w:t>менения</w:t>
      </w:r>
      <w:r>
        <w:rPr>
          <w:b w:val="0"/>
        </w:rPr>
        <w:t>:</w:t>
      </w:r>
    </w:p>
    <w:p w:rsidR="00A853A0" w:rsidRDefault="009A2D5A" w:rsidP="009A2D5A">
      <w:pPr>
        <w:pStyle w:val="ConsNormal"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 Паспорте Программы п</w:t>
      </w:r>
      <w:r w:rsidR="00A853A0" w:rsidRPr="009A2D5A">
        <w:rPr>
          <w:rFonts w:ascii="Times New Roman" w:hAnsi="Times New Roman" w:cs="Times New Roman"/>
          <w:sz w:val="28"/>
          <w:szCs w:val="28"/>
        </w:rPr>
        <w:t>озицию «Объемы и источники финанс</w:t>
      </w:r>
      <w:r w:rsidR="00A853A0" w:rsidRPr="009A2D5A">
        <w:rPr>
          <w:rFonts w:ascii="Times New Roman" w:hAnsi="Times New Roman" w:cs="Times New Roman"/>
          <w:sz w:val="28"/>
          <w:szCs w:val="28"/>
        </w:rPr>
        <w:t>о</w:t>
      </w:r>
      <w:r w:rsidR="00A853A0" w:rsidRPr="009A2D5A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7"/>
        <w:gridCol w:w="6733"/>
      </w:tblGrid>
      <w:tr w:rsidR="006B2D85" w:rsidRPr="00264E2F" w:rsidTr="004A5F72">
        <w:tc>
          <w:tcPr>
            <w:tcW w:w="1482" w:type="pct"/>
          </w:tcPr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C81D41">
              <w:rPr>
                <w:b w:val="0"/>
              </w:rPr>
              <w:t>Объемы и источн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ки финансового обеспечения Пр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граммы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</w:p>
          <w:p w:rsidR="006B2D85" w:rsidRPr="00C81D41" w:rsidRDefault="006B2D85" w:rsidP="009A2D5A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3518" w:type="pct"/>
          </w:tcPr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FF1AA7">
              <w:rPr>
                <w:b w:val="0"/>
                <w:bCs w:val="0"/>
              </w:rPr>
              <w:t>15 700,43</w:t>
            </w:r>
            <w:r w:rsidRPr="00C81D41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бюджет Андроповского муниципального округа Ставропольского края (далее – бюджет муниципал</w:t>
            </w:r>
            <w:r w:rsidRPr="00C81D41">
              <w:rPr>
                <w:b w:val="0"/>
              </w:rPr>
              <w:t>ь</w:t>
            </w:r>
            <w:r w:rsidRPr="00C81D41">
              <w:rPr>
                <w:b w:val="0"/>
              </w:rPr>
              <w:t>ного округа) –</w:t>
            </w:r>
            <w:r>
              <w:rPr>
                <w:b w:val="0"/>
                <w:bCs w:val="0"/>
              </w:rPr>
              <w:t xml:space="preserve"> </w:t>
            </w:r>
            <w:r w:rsidRPr="00FF1AA7">
              <w:rPr>
                <w:b w:val="0"/>
              </w:rPr>
              <w:t>15</w:t>
            </w:r>
            <w:r w:rsidR="00FF1AA7" w:rsidRPr="00FF1AA7">
              <w:rPr>
                <w:b w:val="0"/>
              </w:rPr>
              <w:t> 682,43</w:t>
            </w:r>
            <w:r w:rsidRPr="00FF1AA7">
              <w:rPr>
                <w:b w:val="0"/>
              </w:rPr>
              <w:t xml:space="preserve"> тыс</w:t>
            </w:r>
            <w:r w:rsidRPr="00C81D41">
              <w:rPr>
                <w:b w:val="0"/>
              </w:rPr>
              <w:t>. рублей, в том числе по годам: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5 092,54</w:t>
            </w:r>
            <w:r w:rsidRPr="00C81D41">
              <w:rPr>
                <w:b w:val="0"/>
              </w:rPr>
              <w:t xml:space="preserve">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 xml:space="preserve">2022 год – </w:t>
            </w:r>
            <w:r w:rsidR="00373506">
              <w:rPr>
                <w:b w:val="0"/>
              </w:rPr>
              <w:t>2 488,65</w:t>
            </w:r>
            <w:r w:rsidRPr="00C81D41">
              <w:rPr>
                <w:b w:val="0"/>
              </w:rPr>
              <w:t xml:space="preserve">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2023 год – 2 025,31тыс.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2 025,31тыс.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2 025,31тыс.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2 025,31тыс.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2 84</w:t>
            </w:r>
            <w:r w:rsidRPr="00C81D41">
              <w:rPr>
                <w:b w:val="0"/>
              </w:rPr>
              <w:t>7,2 тыс. рублей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 84</w:t>
            </w:r>
            <w:r w:rsidRPr="00C81D41">
              <w:rPr>
                <w:b w:val="0"/>
              </w:rPr>
              <w:t>7,2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2021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 –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18,00 тыс. рублей, в том числе по годам: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2021 год – 3,00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3,00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3,00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3,00 тыс. рублей;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3,00 тыс. рублей;</w:t>
            </w:r>
          </w:p>
          <w:p w:rsidR="006B2D85" w:rsidRPr="006B2D85" w:rsidRDefault="006B2D85" w:rsidP="006B2D85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2026 год - </w:t>
            </w:r>
            <w:r w:rsidRPr="006B2D85">
              <w:rPr>
                <w:b w:val="0"/>
              </w:rPr>
              <w:t>3,00 тыс. рублей.</w:t>
            </w:r>
            <w:r>
              <w:rPr>
                <w:b w:val="0"/>
              </w:rPr>
              <w:t>»</w:t>
            </w:r>
            <w:r w:rsidR="004A5F72">
              <w:rPr>
                <w:b w:val="0"/>
              </w:rPr>
              <w:t>.</w:t>
            </w:r>
          </w:p>
          <w:p w:rsidR="006B2D85" w:rsidRPr="00C81D41" w:rsidRDefault="006B2D85" w:rsidP="009A2D5A">
            <w:pPr>
              <w:widowControl w:val="0"/>
              <w:jc w:val="both"/>
              <w:rPr>
                <w:b w:val="0"/>
              </w:rPr>
            </w:pPr>
          </w:p>
        </w:tc>
      </w:tr>
    </w:tbl>
    <w:p w:rsidR="006B2D85" w:rsidRDefault="004A5F72" w:rsidP="004A5F7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6B2D85" w:rsidRPr="00A07CC9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6B2D85" w:rsidRPr="007C7AB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6B2D85" w:rsidRPr="007C7ABE">
        <w:rPr>
          <w:rFonts w:ascii="Times New Roman" w:hAnsi="Times New Roman" w:cs="Times New Roman"/>
          <w:color w:val="000000"/>
          <w:sz w:val="28"/>
          <w:szCs w:val="28"/>
        </w:rPr>
        <w:t>«Молодежь»</w:t>
      </w:r>
      <w:r w:rsidR="009A2D5A">
        <w:rPr>
          <w:rFonts w:ascii="Times New Roman" w:hAnsi="Times New Roman" w:cs="Times New Roman"/>
          <w:sz w:val="28"/>
          <w:szCs w:val="28"/>
        </w:rPr>
        <w:t xml:space="preserve"> </w:t>
      </w:r>
      <w:r w:rsidR="009A2D5A" w:rsidRPr="009A2D5A">
        <w:rPr>
          <w:rFonts w:ascii="Times New Roman" w:hAnsi="Times New Roman" w:cs="Times New Roman"/>
          <w:sz w:val="28"/>
          <w:szCs w:val="28"/>
        </w:rPr>
        <w:t>п</w:t>
      </w:r>
      <w:r w:rsidR="006B2D85" w:rsidRPr="009A2D5A">
        <w:rPr>
          <w:rFonts w:ascii="Times New Roman" w:hAnsi="Times New Roman" w:cs="Times New Roman"/>
          <w:sz w:val="28"/>
          <w:szCs w:val="28"/>
        </w:rPr>
        <w:t>озицию «Объемы и и</w:t>
      </w:r>
      <w:r w:rsidR="006B2D85" w:rsidRPr="009A2D5A">
        <w:rPr>
          <w:rFonts w:ascii="Times New Roman" w:hAnsi="Times New Roman" w:cs="Times New Roman"/>
          <w:sz w:val="28"/>
          <w:szCs w:val="28"/>
        </w:rPr>
        <w:t>с</w:t>
      </w:r>
      <w:r w:rsidR="006B2D85" w:rsidRPr="009A2D5A">
        <w:rPr>
          <w:rFonts w:ascii="Times New Roman" w:hAnsi="Times New Roman" w:cs="Times New Roman"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6B2D85" w:rsidRPr="0076608D" w:rsidTr="009A2D5A">
        <w:tc>
          <w:tcPr>
            <w:tcW w:w="2860" w:type="dxa"/>
          </w:tcPr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Pr="00AB400C">
              <w:rPr>
                <w:b w:val="0"/>
                <w:bCs w:val="0"/>
              </w:rPr>
              <w:t>Объемы и источн</w:t>
            </w:r>
            <w:r w:rsidRPr="00AB400C">
              <w:rPr>
                <w:b w:val="0"/>
                <w:bCs w:val="0"/>
              </w:rPr>
              <w:t>и</w:t>
            </w:r>
            <w:r w:rsidRPr="00AB400C">
              <w:rPr>
                <w:b w:val="0"/>
                <w:bCs w:val="0"/>
              </w:rPr>
              <w:t>ки финансового обеспечения Подпр</w:t>
            </w:r>
            <w:r w:rsidRPr="00AB400C">
              <w:rPr>
                <w:b w:val="0"/>
                <w:bCs w:val="0"/>
              </w:rPr>
              <w:t>о</w:t>
            </w:r>
            <w:r w:rsidRPr="00AB400C">
              <w:rPr>
                <w:b w:val="0"/>
                <w:bCs w:val="0"/>
              </w:rPr>
              <w:t>граммы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объем финансового обеспечения подпрограммы с</w:t>
            </w:r>
            <w:r w:rsidRPr="00AB400C">
              <w:rPr>
                <w:b w:val="0"/>
              </w:rPr>
              <w:t>о</w:t>
            </w:r>
            <w:r w:rsidRPr="00AB400C">
              <w:rPr>
                <w:b w:val="0"/>
              </w:rPr>
              <w:t xml:space="preserve">ставит </w:t>
            </w:r>
            <w:r w:rsidRPr="00FF1AA7">
              <w:rPr>
                <w:b w:val="0"/>
              </w:rPr>
              <w:t>9</w:t>
            </w:r>
            <w:r w:rsidR="00FF1AA7" w:rsidRPr="00FF1AA7">
              <w:rPr>
                <w:b w:val="0"/>
              </w:rPr>
              <w:t> </w:t>
            </w:r>
            <w:r w:rsidR="00FF1AA7">
              <w:rPr>
                <w:b w:val="0"/>
              </w:rPr>
              <w:t>279,25</w:t>
            </w:r>
            <w:r w:rsidRPr="00AB400C">
              <w:rPr>
                <w:b w:val="0"/>
              </w:rPr>
              <w:t xml:space="preserve"> тыс. рублей, в том числе по источн</w:t>
            </w:r>
            <w:r w:rsidRPr="00AB400C">
              <w:rPr>
                <w:b w:val="0"/>
              </w:rPr>
              <w:t>и</w:t>
            </w:r>
            <w:r w:rsidRPr="00AB400C">
              <w:rPr>
                <w:b w:val="0"/>
              </w:rPr>
              <w:t>кам финансового обеспечения: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бюджет муниципального округа – </w:t>
            </w:r>
            <w:r w:rsidRPr="00FF1AA7">
              <w:rPr>
                <w:b w:val="0"/>
              </w:rPr>
              <w:t>9</w:t>
            </w:r>
            <w:r w:rsidR="00FF1AA7" w:rsidRPr="00FF1AA7">
              <w:rPr>
                <w:b w:val="0"/>
              </w:rPr>
              <w:t> </w:t>
            </w:r>
            <w:r w:rsidR="00FF1AA7">
              <w:rPr>
                <w:b w:val="0"/>
              </w:rPr>
              <w:t>261,25</w:t>
            </w:r>
            <w:r w:rsidRPr="00AB400C">
              <w:rPr>
                <w:b w:val="0"/>
              </w:rPr>
              <w:t xml:space="preserve"> тыс. ру</w:t>
            </w:r>
            <w:r w:rsidRPr="00AB400C">
              <w:rPr>
                <w:b w:val="0"/>
              </w:rPr>
              <w:t>б</w:t>
            </w:r>
            <w:r w:rsidRPr="00AB400C">
              <w:rPr>
                <w:b w:val="0"/>
              </w:rPr>
              <w:t>лей, в том числе по годам: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1 446,36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2022 год – </w:t>
            </w:r>
            <w:r w:rsidRPr="00FF1AA7">
              <w:rPr>
                <w:b w:val="0"/>
                <w:sz w:val="27"/>
                <w:szCs w:val="27"/>
              </w:rPr>
              <w:t>1</w:t>
            </w:r>
            <w:r w:rsidR="00FF1AA7" w:rsidRPr="00FF1AA7">
              <w:rPr>
                <w:b w:val="0"/>
                <w:sz w:val="27"/>
                <w:szCs w:val="27"/>
              </w:rPr>
              <w:t> 933,65</w:t>
            </w:r>
            <w:r w:rsidRPr="00FF1AA7">
              <w:rPr>
                <w:b w:val="0"/>
                <w:sz w:val="27"/>
                <w:szCs w:val="27"/>
              </w:rPr>
              <w:t xml:space="preserve"> </w:t>
            </w:r>
            <w:r w:rsidRPr="00FF1AA7">
              <w:rPr>
                <w:b w:val="0"/>
              </w:rPr>
              <w:t>тыс.</w:t>
            </w:r>
            <w:r w:rsidRPr="00AB400C">
              <w:rPr>
                <w:b w:val="0"/>
              </w:rPr>
              <w:t xml:space="preserve">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1 470,31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1 470,31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1 470,31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1 470,31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lastRenderedPageBreak/>
              <w:t>в том числе за счет межбюджетных трансфертов - 0,00 тыс. рублей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средства участников Программы – 0,00 тыс. рублей, 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2021 год – 3,00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2022 год – 3,00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3,00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3,00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3,00 тыс. рублей;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3,00 тыс. рублей.</w:t>
            </w:r>
            <w:r w:rsidR="004A5F72">
              <w:rPr>
                <w:b w:val="0"/>
              </w:rPr>
              <w:t>».</w:t>
            </w:r>
          </w:p>
          <w:p w:rsidR="006B2D85" w:rsidRPr="00AB400C" w:rsidRDefault="006B2D85" w:rsidP="009A2D5A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</w:tbl>
    <w:p w:rsidR="009A2D5A" w:rsidRDefault="004A5F72" w:rsidP="004A5F72">
      <w:pPr>
        <w:pStyle w:val="a7"/>
        <w:widowControl w:val="0"/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1.3. </w:t>
      </w:r>
      <w:r w:rsidR="006B2D85" w:rsidRPr="009A2D5A">
        <w:rPr>
          <w:b w:val="0"/>
        </w:rPr>
        <w:t xml:space="preserve">Таблицу 3 </w:t>
      </w:r>
      <w:r w:rsidR="006B2D85">
        <w:t>«</w:t>
      </w:r>
      <w:r w:rsidR="006B2D85" w:rsidRPr="009A2D5A">
        <w:rPr>
          <w:b w:val="0"/>
          <w:bCs w:val="0"/>
        </w:rPr>
        <w:t xml:space="preserve">Объемы и источники финансового обеспечения </w:t>
      </w:r>
      <w:r w:rsidR="006B2D85" w:rsidRPr="009A2D5A">
        <w:rPr>
          <w:b w:val="0"/>
        </w:rPr>
        <w:t>мун</w:t>
      </w:r>
      <w:r w:rsidR="006B2D85" w:rsidRPr="009A2D5A">
        <w:rPr>
          <w:b w:val="0"/>
        </w:rPr>
        <w:t>и</w:t>
      </w:r>
      <w:r w:rsidR="006B2D85" w:rsidRPr="009A2D5A">
        <w:rPr>
          <w:b w:val="0"/>
        </w:rPr>
        <w:t>ципальной программы Андроповского муниципального округа Ставропол</w:t>
      </w:r>
      <w:r w:rsidR="006B2D85" w:rsidRPr="009A2D5A">
        <w:rPr>
          <w:b w:val="0"/>
        </w:rPr>
        <w:t>ь</w:t>
      </w:r>
      <w:r w:rsidR="006B2D85" w:rsidRPr="009A2D5A">
        <w:rPr>
          <w:b w:val="0"/>
        </w:rPr>
        <w:t>ского края «Формирование здорового образа жизни населения, реализация молодежной политики»</w:t>
      </w:r>
      <w:r w:rsidR="006B2D85" w:rsidRPr="009A2D5A">
        <w:rPr>
          <w:b w:val="0"/>
          <w:bCs w:val="0"/>
        </w:rPr>
        <w:t xml:space="preserve"> </w:t>
      </w:r>
      <w:r w:rsidR="009A2D5A" w:rsidRPr="009A2D5A">
        <w:rPr>
          <w:b w:val="0"/>
        </w:rPr>
        <w:t xml:space="preserve">Приложения 4 к муниципальной программе </w:t>
      </w:r>
      <w:r w:rsidR="006B2D85" w:rsidRPr="009A2D5A">
        <w:rPr>
          <w:b w:val="0"/>
        </w:rPr>
        <w:t>изл</w:t>
      </w:r>
      <w:r w:rsidR="006B2D85" w:rsidRPr="009A2D5A">
        <w:rPr>
          <w:b w:val="0"/>
        </w:rPr>
        <w:t>о</w:t>
      </w:r>
      <w:r w:rsidR="006B2D85" w:rsidRPr="009A2D5A">
        <w:rPr>
          <w:b w:val="0"/>
        </w:rPr>
        <w:t>жить в прилагаемой редакции</w:t>
      </w:r>
      <w:r w:rsidR="009A2D5A" w:rsidRPr="009A2D5A">
        <w:rPr>
          <w:b w:val="0"/>
        </w:rPr>
        <w:t>.</w:t>
      </w:r>
    </w:p>
    <w:p w:rsidR="009A2D5A" w:rsidRPr="009A2D5A" w:rsidRDefault="009A2D5A" w:rsidP="004A5F72">
      <w:pPr>
        <w:pStyle w:val="a7"/>
        <w:widowControl w:val="0"/>
        <w:ind w:left="0" w:firstLine="709"/>
        <w:jc w:val="both"/>
        <w:rPr>
          <w:b w:val="0"/>
        </w:rPr>
      </w:pPr>
    </w:p>
    <w:p w:rsidR="00A853A0" w:rsidRPr="00543F5F" w:rsidRDefault="004A5F72" w:rsidP="00A853A0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A853A0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A853A0">
        <w:rPr>
          <w:b w:val="0"/>
        </w:rPr>
        <w:t xml:space="preserve">округа </w:t>
      </w:r>
      <w:r w:rsidR="00A853A0" w:rsidRPr="00543F5F">
        <w:rPr>
          <w:b w:val="0"/>
        </w:rPr>
        <w:t>Ставропол</w:t>
      </w:r>
      <w:r w:rsidR="00A853A0" w:rsidRPr="00543F5F">
        <w:rPr>
          <w:b w:val="0"/>
        </w:rPr>
        <w:t>ь</w:t>
      </w:r>
      <w:r w:rsidR="00A853A0" w:rsidRPr="00543F5F">
        <w:rPr>
          <w:b w:val="0"/>
        </w:rPr>
        <w:t>ского края в информационно-телекоммуникационной сети «Интернет».</w:t>
      </w:r>
    </w:p>
    <w:p w:rsidR="00A853A0" w:rsidRPr="00543F5F" w:rsidRDefault="00A853A0" w:rsidP="00A853A0">
      <w:pPr>
        <w:widowControl w:val="0"/>
        <w:tabs>
          <w:tab w:val="left" w:pos="567"/>
        </w:tabs>
        <w:jc w:val="both"/>
        <w:rPr>
          <w:b w:val="0"/>
        </w:rPr>
      </w:pPr>
    </w:p>
    <w:p w:rsidR="00A853A0" w:rsidRPr="00543F5F" w:rsidRDefault="004A5F72" w:rsidP="00A853A0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A853A0" w:rsidRPr="00543F5F">
        <w:rPr>
          <w:b w:val="0"/>
        </w:rPr>
        <w:t xml:space="preserve">. Настоящее постановление </w:t>
      </w:r>
      <w:r w:rsidR="00A853A0">
        <w:rPr>
          <w:b w:val="0"/>
        </w:rPr>
        <w:t>вступает в силу после его официального обнародования</w:t>
      </w:r>
      <w:r w:rsidR="00A853A0" w:rsidRPr="00543F5F">
        <w:rPr>
          <w:b w:val="0"/>
        </w:rPr>
        <w:t>.</w:t>
      </w:r>
    </w:p>
    <w:p w:rsidR="00A853A0" w:rsidRDefault="00A853A0" w:rsidP="00A853A0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A853A0" w:rsidRDefault="00A853A0" w:rsidP="00A853A0">
      <w:pPr>
        <w:pStyle w:val="a3"/>
        <w:widowControl w:val="0"/>
        <w:spacing w:after="0" w:line="240" w:lineRule="exact"/>
        <w:jc w:val="both"/>
        <w:rPr>
          <w:sz w:val="28"/>
          <w:szCs w:val="28"/>
        </w:rPr>
      </w:pPr>
    </w:p>
    <w:p w:rsidR="00A853A0" w:rsidRPr="004E13BF" w:rsidRDefault="00A853A0" w:rsidP="00A853A0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A853A0" w:rsidRPr="004E13BF" w:rsidRDefault="00A853A0" w:rsidP="00A853A0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9A2D5A" w:rsidRDefault="00A853A0" w:rsidP="00A853A0">
      <w:pPr>
        <w:spacing w:line="240" w:lineRule="exact"/>
        <w:jc w:val="both"/>
        <w:rPr>
          <w:b w:val="0"/>
        </w:rPr>
      </w:pPr>
      <w:r w:rsidRPr="004E13BF">
        <w:rPr>
          <w:b w:val="0"/>
        </w:rPr>
        <w:t>Ставропольского края</w:t>
      </w:r>
      <w:r>
        <w:rPr>
          <w:b w:val="0"/>
        </w:rPr>
        <w:t xml:space="preserve">                                  </w:t>
      </w:r>
      <w:r w:rsidRPr="004E13BF">
        <w:rPr>
          <w:b w:val="0"/>
        </w:rPr>
        <w:t xml:space="preserve">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9A2D5A" w:rsidRDefault="009A2D5A" w:rsidP="009A2D5A">
      <w:pPr>
        <w:spacing w:line="230" w:lineRule="auto"/>
        <w:ind w:firstLine="709"/>
        <w:jc w:val="right"/>
        <w:rPr>
          <w:b w:val="0"/>
          <w:bCs w:val="0"/>
        </w:rPr>
        <w:sectPr w:rsidR="009A2D5A" w:rsidSect="004A5F72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2"/>
        </w:sectPr>
      </w:pPr>
    </w:p>
    <w:p w:rsidR="009A2D5A" w:rsidRDefault="009A2D5A" w:rsidP="009A2D5A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4A5F72" w:rsidRDefault="004A5F72" w:rsidP="009A2D5A">
      <w:pPr>
        <w:spacing w:line="230" w:lineRule="auto"/>
        <w:ind w:firstLine="709"/>
        <w:jc w:val="right"/>
        <w:rPr>
          <w:b w:val="0"/>
          <w:bCs w:val="0"/>
        </w:rPr>
      </w:pPr>
    </w:p>
    <w:p w:rsidR="004A5F72" w:rsidRPr="00C81D41" w:rsidRDefault="004A5F72" w:rsidP="009A2D5A">
      <w:pPr>
        <w:spacing w:line="230" w:lineRule="auto"/>
        <w:ind w:firstLine="709"/>
        <w:jc w:val="right"/>
        <w:rPr>
          <w:b w:val="0"/>
          <w:bCs w:val="0"/>
        </w:rPr>
      </w:pPr>
    </w:p>
    <w:p w:rsidR="009A2D5A" w:rsidRPr="00C81D41" w:rsidRDefault="009A2D5A" w:rsidP="009A2D5A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530"/>
      <w:bookmarkEnd w:id="1"/>
      <w:r w:rsidRPr="00C81D41">
        <w:rPr>
          <w:b w:val="0"/>
          <w:bCs w:val="0"/>
        </w:rPr>
        <w:t>ОБЪЕМЫ И ИСТОЧНИКИ</w:t>
      </w:r>
    </w:p>
    <w:p w:rsidR="009A2D5A" w:rsidRPr="00C81D41" w:rsidRDefault="009A2D5A" w:rsidP="009A2D5A">
      <w:pPr>
        <w:widowControl w:val="0"/>
        <w:spacing w:line="240" w:lineRule="exact"/>
        <w:jc w:val="center"/>
        <w:rPr>
          <w:b w:val="0"/>
          <w:bCs w:val="0"/>
        </w:rPr>
      </w:pPr>
    </w:p>
    <w:p w:rsidR="009A2D5A" w:rsidRPr="00C81D41" w:rsidRDefault="009A2D5A" w:rsidP="009A2D5A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="004A5F72">
        <w:rPr>
          <w:b w:val="0"/>
          <w:bCs w:val="0"/>
        </w:rPr>
        <w:t xml:space="preserve"> (далее </w:t>
      </w:r>
      <w:r w:rsidRPr="00C81D41">
        <w:rPr>
          <w:b w:val="0"/>
          <w:bCs w:val="0"/>
        </w:rPr>
        <w:t>- Программа)</w:t>
      </w:r>
    </w:p>
    <w:p w:rsidR="009A2D5A" w:rsidRPr="00C81D41" w:rsidRDefault="009A2D5A" w:rsidP="009A2D5A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111"/>
        <w:gridCol w:w="1275"/>
        <w:gridCol w:w="1276"/>
        <w:gridCol w:w="1276"/>
        <w:gridCol w:w="1275"/>
        <w:gridCol w:w="1276"/>
        <w:gridCol w:w="1276"/>
      </w:tblGrid>
      <w:tr w:rsidR="009A2D5A" w:rsidRPr="00C81D41" w:rsidTr="00373506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Наименование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>мы Программы, о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новного мероприятия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Источники финансового обе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печения по ответственному и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полнителю, соисполнителю программы,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основному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Объемы финансового обеспечения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 годам (тыс. рублей)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9A2D5A" w:rsidRPr="00C81D41" w:rsidTr="00373506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2023 год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2024 год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2025 год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2026 год</w:t>
            </w:r>
          </w:p>
          <w:p w:rsidR="009A2D5A" w:rsidRPr="00C81D41" w:rsidRDefault="009A2D5A" w:rsidP="009A2D5A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9A2D5A" w:rsidRPr="00C81D41" w:rsidRDefault="009A2D5A" w:rsidP="009A2D5A">
      <w:pPr>
        <w:rPr>
          <w:b w:val="0"/>
          <w:sz w:val="4"/>
          <w:szCs w:val="4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114"/>
        <w:gridCol w:w="1275"/>
        <w:gridCol w:w="1276"/>
        <w:gridCol w:w="1276"/>
        <w:gridCol w:w="1275"/>
        <w:gridCol w:w="1276"/>
        <w:gridCol w:w="1276"/>
      </w:tblGrid>
      <w:tr w:rsidR="009A2D5A" w:rsidRPr="00C81D41" w:rsidTr="00373506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9</w:t>
            </w:r>
          </w:p>
        </w:tc>
      </w:tr>
      <w:tr w:rsidR="009A2D5A" w:rsidRPr="00C81D41" w:rsidTr="00373506">
        <w:tc>
          <w:tcPr>
            <w:tcW w:w="710" w:type="dxa"/>
            <w:tcBorders>
              <w:top w:val="single" w:sz="4" w:space="0" w:color="auto"/>
            </w:tcBorders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</w:tcBorders>
          </w:tcPr>
          <w:p w:rsidR="009A2D5A" w:rsidRPr="00C81D41" w:rsidRDefault="009A2D5A" w:rsidP="00D8028F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15</w:t>
            </w:r>
            <w:r w:rsidR="00D8028F">
              <w:rPr>
                <w:b w:val="0"/>
                <w:bCs w:val="0"/>
              </w:rPr>
              <w:t> 700,43</w:t>
            </w:r>
            <w:r w:rsidRPr="00C81D41">
              <w:rPr>
                <w:b w:val="0"/>
              </w:rPr>
              <w:t xml:space="preserve"> </w:t>
            </w:r>
            <w:proofErr w:type="spellStart"/>
            <w:r w:rsidRPr="00C81D41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5 095,54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2D5A" w:rsidRPr="00C81D41" w:rsidRDefault="00D8028F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2 491,</w:t>
            </w:r>
            <w:r>
              <w:rPr>
                <w:b w:val="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2 028,31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2 028,31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2 028,31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2 028,31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5 092,54</w:t>
            </w:r>
          </w:p>
        </w:tc>
        <w:tc>
          <w:tcPr>
            <w:tcW w:w="1276" w:type="dxa"/>
            <w:vAlign w:val="center"/>
          </w:tcPr>
          <w:p w:rsidR="009A2D5A" w:rsidRPr="00C81D41" w:rsidRDefault="00D8028F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2 4</w:t>
            </w:r>
            <w:r>
              <w:rPr>
                <w:b w:val="0"/>
              </w:rPr>
              <w:t>88,65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2 025,31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2 025,31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2 025,31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2 025,31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3 857,78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 xml:space="preserve">жетных трансфертов, 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предусмотренных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внебюджетные средства и иные </w:t>
            </w:r>
            <w:r w:rsidRPr="00C81D41">
              <w:rPr>
                <w:b w:val="0"/>
                <w:bCs w:val="0"/>
              </w:rPr>
              <w:lastRenderedPageBreak/>
              <w:t>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114" w:type="dxa"/>
          </w:tcPr>
          <w:p w:rsidR="009A2D5A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9A2D5A" w:rsidRPr="00C81D41" w:rsidRDefault="00D8028F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1 </w:t>
            </w:r>
            <w:r>
              <w:rPr>
                <w:b w:val="0"/>
              </w:rPr>
              <w:t>725,05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«С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здание условий для развития физической культуры и массового спорта», всего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6 306,00 </w:t>
            </w:r>
            <w:proofErr w:type="spellStart"/>
            <w:r w:rsidRPr="00C81D41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lastRenderedPageBreak/>
              <w:t xml:space="preserve">мы (юридических лиц) 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2.1.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«Спортивно-массовые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тия»</w:t>
            </w: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9A2D5A" w:rsidRPr="00C81D41" w:rsidTr="00373506">
        <w:trPr>
          <w:trHeight w:val="87"/>
        </w:trPr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«Развитие спо</w:t>
            </w:r>
            <w:r w:rsidRPr="00C81D41">
              <w:rPr>
                <w:b w:val="0"/>
                <w:bCs w:val="0"/>
              </w:rPr>
              <w:t>р</w:t>
            </w:r>
            <w:r w:rsidRPr="00C81D41">
              <w:rPr>
                <w:b w:val="0"/>
                <w:bCs w:val="0"/>
              </w:rPr>
              <w:t>тивной инфрастру</w:t>
            </w:r>
            <w:r w:rsidRPr="00C81D41">
              <w:rPr>
                <w:b w:val="0"/>
                <w:bCs w:val="0"/>
              </w:rPr>
              <w:t>к</w:t>
            </w:r>
            <w:r w:rsidRPr="00C81D41">
              <w:rPr>
                <w:b w:val="0"/>
                <w:bCs w:val="0"/>
              </w:rPr>
              <w:t>туры, массового спо</w:t>
            </w:r>
            <w:r w:rsidRPr="00C81D41">
              <w:rPr>
                <w:b w:val="0"/>
                <w:bCs w:val="0"/>
              </w:rPr>
              <w:t>р</w:t>
            </w:r>
            <w:r w:rsidRPr="00C81D41">
              <w:rPr>
                <w:b w:val="0"/>
                <w:bCs w:val="0"/>
              </w:rPr>
              <w:t>та»</w:t>
            </w: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lastRenderedPageBreak/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3 171,00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предусмотренные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«М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лодежь», всего </w:t>
            </w:r>
          </w:p>
          <w:p w:rsidR="009A2D5A" w:rsidRPr="00AB400C" w:rsidRDefault="00D8028F" w:rsidP="009A2D5A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9279,25</w:t>
            </w:r>
            <w:r w:rsidR="009A2D5A">
              <w:rPr>
                <w:b w:val="0"/>
                <w:bCs w:val="0"/>
              </w:rPr>
              <w:t xml:space="preserve"> </w:t>
            </w:r>
            <w:proofErr w:type="spellStart"/>
            <w:r w:rsidR="009A2D5A">
              <w:rPr>
                <w:b w:val="0"/>
                <w:bCs w:val="0"/>
              </w:rPr>
              <w:t>тыс.рублей</w:t>
            </w:r>
            <w:proofErr w:type="spellEnd"/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vAlign w:val="center"/>
          </w:tcPr>
          <w:p w:rsidR="009A2D5A" w:rsidRPr="00C81D41" w:rsidRDefault="00D8028F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FF1AA7">
              <w:rPr>
                <w:b w:val="0"/>
                <w:sz w:val="27"/>
                <w:szCs w:val="27"/>
              </w:rPr>
              <w:t>1 </w:t>
            </w:r>
            <w:r>
              <w:rPr>
                <w:b w:val="0"/>
                <w:sz w:val="27"/>
                <w:szCs w:val="27"/>
              </w:rPr>
              <w:t>936,05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1 473,31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1 473,31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1 473,31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1 473,31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D8028F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 w:rsidR="00D8028F">
              <w:rPr>
                <w:b w:val="0"/>
                <w:sz w:val="27"/>
                <w:szCs w:val="27"/>
              </w:rPr>
              <w:t> 933,65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1 470,31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1 470,31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1 470,31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1 470,31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1</w:t>
            </w:r>
            <w:r w:rsidR="00FB0036" w:rsidRPr="00FF1AA7">
              <w:rPr>
                <w:b w:val="0"/>
              </w:rPr>
              <w:t> </w:t>
            </w:r>
            <w:r w:rsidR="00FB0036">
              <w:rPr>
                <w:b w:val="0"/>
              </w:rPr>
              <w:t>722,05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и проведение окружных молодежных мер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приятий, участие в краевых, регионал</w:t>
            </w:r>
            <w:r w:rsidRPr="00C81D41">
              <w:rPr>
                <w:b w:val="0"/>
                <w:bCs w:val="0"/>
              </w:rPr>
              <w:t>ь</w:t>
            </w:r>
            <w:r w:rsidRPr="00C81D41">
              <w:rPr>
                <w:b w:val="0"/>
                <w:bCs w:val="0"/>
              </w:rPr>
              <w:t>ных и Всероссийских мероприятиях»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выпадающие доходы окружного </w:t>
            </w:r>
            <w:r w:rsidRPr="00C81D41">
              <w:rPr>
                <w:b w:val="0"/>
                <w:bCs w:val="0"/>
              </w:rPr>
              <w:lastRenderedPageBreak/>
              <w:t>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ятельности учрежд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по социально - досуговой работе с молодежью по месту жительства»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1 </w:t>
            </w:r>
            <w:r>
              <w:rPr>
                <w:b w:val="0"/>
              </w:rPr>
              <w:t>725,05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1 261,71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</w:t>
            </w:r>
            <w:r w:rsidRPr="00C81D41">
              <w:rPr>
                <w:b w:val="0"/>
                <w:bCs w:val="0"/>
              </w:rPr>
              <w:t>в</w:t>
            </w:r>
            <w:r w:rsidRPr="00C81D41">
              <w:rPr>
                <w:b w:val="0"/>
                <w:bCs w:val="0"/>
              </w:rPr>
              <w:t>ского муниципального округа,</w:t>
            </w:r>
          </w:p>
          <w:p w:rsidR="009A2D5A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9A2D5A" w:rsidRPr="00C81D41" w:rsidRDefault="00373506" w:rsidP="009A2D5A">
            <w:pPr>
              <w:jc w:val="center"/>
              <w:rPr>
                <w:b w:val="0"/>
              </w:rPr>
            </w:pPr>
            <w:r>
              <w:rPr>
                <w:b w:val="0"/>
              </w:rPr>
              <w:t>1 725,05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</w:t>
            </w:r>
            <w:r w:rsidRPr="00C81D41">
              <w:rPr>
                <w:b w:val="0"/>
                <w:bCs w:val="0"/>
              </w:rPr>
              <w:t>д</w:t>
            </w:r>
            <w:r w:rsidRPr="00C81D41">
              <w:rPr>
                <w:b w:val="0"/>
                <w:bCs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</w:t>
            </w:r>
            <w:r w:rsidRPr="00C81D41">
              <w:rPr>
                <w:b w:val="0"/>
                <w:bCs w:val="0"/>
              </w:rPr>
              <w:t>у</w:t>
            </w:r>
            <w:r w:rsidRPr="00C81D41">
              <w:rPr>
                <w:b w:val="0"/>
                <w:bCs w:val="0"/>
              </w:rPr>
              <w:lastRenderedPageBreak/>
              <w:t>лирования,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средства участников 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 xml:space="preserve">мы (юридических лиц) </w:t>
            </w:r>
          </w:p>
          <w:p w:rsidR="009A2D5A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 АМОСК «Центр мол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дежных проектов»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FF1AA7">
              <w:rPr>
                <w:b w:val="0"/>
              </w:rPr>
              <w:t>1 </w:t>
            </w:r>
            <w:r>
              <w:rPr>
                <w:b w:val="0"/>
              </w:rPr>
              <w:t>722,05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1 258,71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Подпрограмма «Пр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филактика безнадзо</w:t>
            </w:r>
            <w:r w:rsidRPr="00C81D41">
              <w:rPr>
                <w:b w:val="0"/>
              </w:rPr>
              <w:t>р</w:t>
            </w:r>
            <w:r w:rsidRPr="00C81D41">
              <w:rPr>
                <w:b w:val="0"/>
              </w:rPr>
              <w:t>ности и правонаруш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ний несовершенн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летних, наркомании и противодействие 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 xml:space="preserve">законному обороту наркотиков», всего 115,18 </w:t>
            </w:r>
            <w:proofErr w:type="spellStart"/>
            <w:r w:rsidRPr="00C81D41">
              <w:rPr>
                <w:b w:val="0"/>
              </w:rPr>
              <w:t>тыс.рублей</w:t>
            </w:r>
            <w:proofErr w:type="spellEnd"/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</w:t>
            </w:r>
            <w:r w:rsidRPr="00C81D41">
              <w:rPr>
                <w:b w:val="0"/>
              </w:rPr>
              <w:t>в</w:t>
            </w:r>
            <w:r w:rsidRPr="00C81D41">
              <w:rPr>
                <w:b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</w:t>
            </w:r>
            <w:r w:rsidRPr="00C81D41">
              <w:rPr>
                <w:b w:val="0"/>
              </w:rPr>
              <w:t>д</w:t>
            </w:r>
            <w:r w:rsidRPr="00C81D41">
              <w:rPr>
                <w:b w:val="0"/>
              </w:rPr>
              <w:t xml:space="preserve">жетных трансфертов, 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предусмотренных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</w:t>
            </w:r>
            <w:r w:rsidRPr="00C81D41">
              <w:rPr>
                <w:b w:val="0"/>
              </w:rPr>
              <w:t>у</w:t>
            </w:r>
            <w:r w:rsidRPr="00C81D41">
              <w:rPr>
                <w:b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средства участников Програ</w:t>
            </w:r>
            <w:r w:rsidRPr="00C81D41">
              <w:rPr>
                <w:b w:val="0"/>
              </w:rPr>
              <w:t>м</w:t>
            </w:r>
            <w:r w:rsidRPr="00C81D41">
              <w:rPr>
                <w:b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4.1.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«Профилактика правонарушений и преступлений среди несовершеннолетних и молодежи»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</w:t>
            </w:r>
            <w:r w:rsidRPr="00C81D41">
              <w:rPr>
                <w:b w:val="0"/>
              </w:rPr>
              <w:t>в</w:t>
            </w:r>
            <w:r w:rsidRPr="00C81D41">
              <w:rPr>
                <w:b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</w:t>
            </w:r>
            <w:r w:rsidRPr="00C81D41">
              <w:rPr>
                <w:b w:val="0"/>
              </w:rPr>
              <w:t>д</w:t>
            </w:r>
            <w:r w:rsidRPr="00C81D41">
              <w:rPr>
                <w:b w:val="0"/>
              </w:rPr>
              <w:t>жетных трансфертов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lastRenderedPageBreak/>
              <w:t>ния мер муниципального рег</w:t>
            </w:r>
            <w:r w:rsidRPr="00C81D41">
              <w:rPr>
                <w:b w:val="0"/>
              </w:rPr>
              <w:t>у</w:t>
            </w:r>
            <w:r w:rsidRPr="00C81D41">
              <w:rPr>
                <w:b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средства участников Програ</w:t>
            </w:r>
            <w:r w:rsidRPr="00C81D41">
              <w:rPr>
                <w:b w:val="0"/>
              </w:rPr>
              <w:t>м</w:t>
            </w:r>
            <w:r w:rsidRPr="00C81D41">
              <w:rPr>
                <w:b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4.2.</w:t>
            </w: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«Обеспечение 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ятельности комиссии по делам несоверше</w:t>
            </w:r>
            <w:r w:rsidRPr="00C81D41">
              <w:rPr>
                <w:b w:val="0"/>
              </w:rPr>
              <w:t>н</w:t>
            </w:r>
            <w:r w:rsidRPr="00C81D41">
              <w:rPr>
                <w:b w:val="0"/>
              </w:rPr>
              <w:t>нолетних и защите их прав»</w:t>
            </w: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bCs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</w:t>
            </w:r>
            <w:r w:rsidRPr="00C81D41">
              <w:rPr>
                <w:b w:val="0"/>
              </w:rPr>
              <w:t>в</w:t>
            </w:r>
            <w:r w:rsidRPr="00C81D41">
              <w:rPr>
                <w:b w:val="0"/>
              </w:rPr>
              <w:t>ского муниципального округа,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 том числе за счет межбю</w:t>
            </w:r>
            <w:r w:rsidRPr="00C81D41">
              <w:rPr>
                <w:b w:val="0"/>
              </w:rPr>
              <w:t>д</w:t>
            </w:r>
            <w:r w:rsidRPr="00C81D41">
              <w:rPr>
                <w:b w:val="0"/>
              </w:rPr>
              <w:t xml:space="preserve">жетных трансфертов, 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предусмотренные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</w:t>
            </w:r>
            <w:r w:rsidRPr="00C81D41">
              <w:rPr>
                <w:b w:val="0"/>
              </w:rPr>
              <w:t>у</w:t>
            </w:r>
            <w:r w:rsidRPr="00C81D41">
              <w:rPr>
                <w:b w:val="0"/>
              </w:rPr>
              <w:t>лирования,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внебюджетные средства и иные </w:t>
            </w:r>
            <w:r w:rsidRPr="00C81D41">
              <w:rPr>
                <w:b w:val="0"/>
              </w:rPr>
              <w:lastRenderedPageBreak/>
              <w:t>источники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9A2D5A" w:rsidRPr="00C81D41" w:rsidTr="00373506">
        <w:tc>
          <w:tcPr>
            <w:tcW w:w="710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114" w:type="dxa"/>
          </w:tcPr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средства участников Програ</w:t>
            </w:r>
            <w:r w:rsidRPr="00C81D41">
              <w:rPr>
                <w:b w:val="0"/>
              </w:rPr>
              <w:t>м</w:t>
            </w:r>
            <w:r w:rsidRPr="00C81D41">
              <w:rPr>
                <w:b w:val="0"/>
              </w:rPr>
              <w:t xml:space="preserve">мы (юридических лиц) </w:t>
            </w:r>
          </w:p>
          <w:p w:rsidR="009A2D5A" w:rsidRPr="00C81D41" w:rsidRDefault="009A2D5A" w:rsidP="009A2D5A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9A2D5A" w:rsidRPr="00C81D41" w:rsidRDefault="009A2D5A" w:rsidP="009A2D5A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</w:tbl>
    <w:p w:rsidR="00A853A0" w:rsidRDefault="00A853A0" w:rsidP="00A853A0">
      <w:pPr>
        <w:spacing w:line="240" w:lineRule="exact"/>
        <w:jc w:val="both"/>
        <w:rPr>
          <w:b w:val="0"/>
        </w:rPr>
      </w:pPr>
    </w:p>
    <w:p w:rsidR="009A2D5A" w:rsidRDefault="009A2D5A"/>
    <w:p w:rsidR="004A5F72" w:rsidRDefault="004A5F72"/>
    <w:p w:rsidR="004A5F72" w:rsidRPr="004A5F72" w:rsidRDefault="00373506" w:rsidP="00373506">
      <w:pPr>
        <w:jc w:val="center"/>
        <w:rPr>
          <w:b w:val="0"/>
        </w:rPr>
      </w:pPr>
      <w:r>
        <w:rPr>
          <w:b w:val="0"/>
          <w:bCs w:val="0"/>
        </w:rPr>
        <w:t>_________________________</w:t>
      </w:r>
    </w:p>
    <w:sectPr w:rsidR="004A5F72" w:rsidRPr="004A5F72" w:rsidSect="009A2D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09" w:rsidRDefault="009B0809" w:rsidP="004A5F72">
      <w:r>
        <w:separator/>
      </w:r>
    </w:p>
  </w:endnote>
  <w:endnote w:type="continuationSeparator" w:id="0">
    <w:p w:rsidR="009B0809" w:rsidRDefault="009B0809" w:rsidP="004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09" w:rsidRDefault="009B0809" w:rsidP="004A5F72">
      <w:r>
        <w:separator/>
      </w:r>
    </w:p>
  </w:footnote>
  <w:footnote w:type="continuationSeparator" w:id="0">
    <w:p w:rsidR="009B0809" w:rsidRDefault="009B0809" w:rsidP="004A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1044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4A5F72" w:rsidRPr="004A5F72" w:rsidRDefault="004A5F72" w:rsidP="004A5F72">
        <w:pPr>
          <w:pStyle w:val="a8"/>
          <w:jc w:val="center"/>
          <w:rPr>
            <w:b w:val="0"/>
          </w:rPr>
        </w:pPr>
        <w:r w:rsidRPr="004A5F72">
          <w:rPr>
            <w:b w:val="0"/>
          </w:rPr>
          <w:fldChar w:fldCharType="begin"/>
        </w:r>
        <w:r w:rsidRPr="004A5F72">
          <w:rPr>
            <w:b w:val="0"/>
          </w:rPr>
          <w:instrText>PAGE   \* MERGEFORMAT</w:instrText>
        </w:r>
        <w:r w:rsidRPr="004A5F72">
          <w:rPr>
            <w:b w:val="0"/>
          </w:rPr>
          <w:fldChar w:fldCharType="separate"/>
        </w:r>
        <w:r w:rsidR="00B5419A">
          <w:rPr>
            <w:b w:val="0"/>
            <w:noProof/>
          </w:rPr>
          <w:t>3</w:t>
        </w:r>
        <w:r w:rsidRPr="004A5F72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0C45609"/>
    <w:multiLevelType w:val="hybridMultilevel"/>
    <w:tmpl w:val="7CB81BC6"/>
    <w:lvl w:ilvl="0" w:tplc="1D3610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0"/>
    <w:rsid w:val="000C6508"/>
    <w:rsid w:val="001258A3"/>
    <w:rsid w:val="001570D5"/>
    <w:rsid w:val="001658C2"/>
    <w:rsid w:val="00180CCB"/>
    <w:rsid w:val="00373506"/>
    <w:rsid w:val="00393CA8"/>
    <w:rsid w:val="004A5F72"/>
    <w:rsid w:val="005A68DC"/>
    <w:rsid w:val="00680426"/>
    <w:rsid w:val="006B2D85"/>
    <w:rsid w:val="006C6B30"/>
    <w:rsid w:val="00713EBA"/>
    <w:rsid w:val="007411FF"/>
    <w:rsid w:val="009A2D5A"/>
    <w:rsid w:val="009B0809"/>
    <w:rsid w:val="009C41FC"/>
    <w:rsid w:val="00A853A0"/>
    <w:rsid w:val="00A92316"/>
    <w:rsid w:val="00AB3AEF"/>
    <w:rsid w:val="00B5419A"/>
    <w:rsid w:val="00B812B6"/>
    <w:rsid w:val="00D2413F"/>
    <w:rsid w:val="00D8028F"/>
    <w:rsid w:val="00DA20FF"/>
    <w:rsid w:val="00DF2E14"/>
    <w:rsid w:val="00E80465"/>
    <w:rsid w:val="00FB0036"/>
    <w:rsid w:val="00FD020D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3A0"/>
    <w:pPr>
      <w:spacing w:after="120"/>
    </w:pPr>
    <w:rPr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8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A85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53A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53A0"/>
    <w:pPr>
      <w:ind w:left="720"/>
      <w:contextualSpacing/>
    </w:pPr>
  </w:style>
  <w:style w:type="paragraph" w:customStyle="1" w:styleId="ConsNormal">
    <w:name w:val="ConsNormal"/>
    <w:rsid w:val="00A853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B2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B2D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A2D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9A2D5A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b">
    <w:name w:val="Обычный (веб) Знак"/>
    <w:link w:val="aa"/>
    <w:rsid w:val="009A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2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9A2D5A"/>
    <w:rPr>
      <w:color w:val="0000FF"/>
      <w:u w:val="single"/>
    </w:rPr>
  </w:style>
  <w:style w:type="paragraph" w:customStyle="1" w:styleId="ConsPlusNonformat">
    <w:name w:val="ConsPlusNonformat"/>
    <w:rsid w:val="009A2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A2D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9A2D5A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9A2D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A2D5A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d">
    <w:name w:val="Основной текст_"/>
    <w:link w:val="9"/>
    <w:locked/>
    <w:rsid w:val="009A2D5A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9A2D5A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9A2D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9A2D5A"/>
    <w:rPr>
      <w:rFonts w:ascii="Calibri" w:eastAsia="Times New Roman" w:hAnsi="Calibri" w:cs="Calibri"/>
    </w:rPr>
  </w:style>
  <w:style w:type="character" w:styleId="af0">
    <w:name w:val="page number"/>
    <w:basedOn w:val="a0"/>
    <w:rsid w:val="009A2D5A"/>
  </w:style>
  <w:style w:type="paragraph" w:styleId="af1">
    <w:name w:val="footer"/>
    <w:basedOn w:val="a"/>
    <w:link w:val="af2"/>
    <w:rsid w:val="009A2D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A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D5A"/>
  </w:style>
  <w:style w:type="paragraph" w:customStyle="1" w:styleId="Standard">
    <w:name w:val="Standard"/>
    <w:rsid w:val="009A2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9A2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A2D5A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3A0"/>
    <w:pPr>
      <w:spacing w:after="120"/>
    </w:pPr>
    <w:rPr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8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A85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53A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53A0"/>
    <w:pPr>
      <w:ind w:left="720"/>
      <w:contextualSpacing/>
    </w:pPr>
  </w:style>
  <w:style w:type="paragraph" w:customStyle="1" w:styleId="ConsNormal">
    <w:name w:val="ConsNormal"/>
    <w:rsid w:val="00A853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B2D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B2D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A2D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9A2D5A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b">
    <w:name w:val="Обычный (веб) Знак"/>
    <w:link w:val="aa"/>
    <w:rsid w:val="009A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2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9A2D5A"/>
    <w:rPr>
      <w:color w:val="0000FF"/>
      <w:u w:val="single"/>
    </w:rPr>
  </w:style>
  <w:style w:type="paragraph" w:customStyle="1" w:styleId="ConsPlusNonformat">
    <w:name w:val="ConsPlusNonformat"/>
    <w:rsid w:val="009A2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A2D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9A2D5A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9A2D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A2D5A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d">
    <w:name w:val="Основной текст_"/>
    <w:link w:val="9"/>
    <w:locked/>
    <w:rsid w:val="009A2D5A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9A2D5A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9A2D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9A2D5A"/>
    <w:rPr>
      <w:rFonts w:ascii="Calibri" w:eastAsia="Times New Roman" w:hAnsi="Calibri" w:cs="Calibri"/>
    </w:rPr>
  </w:style>
  <w:style w:type="character" w:styleId="af0">
    <w:name w:val="page number"/>
    <w:basedOn w:val="a0"/>
    <w:rsid w:val="009A2D5A"/>
  </w:style>
  <w:style w:type="paragraph" w:styleId="af1">
    <w:name w:val="footer"/>
    <w:basedOn w:val="a"/>
    <w:link w:val="af2"/>
    <w:rsid w:val="009A2D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A2D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A2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D5A"/>
  </w:style>
  <w:style w:type="paragraph" w:customStyle="1" w:styleId="Standard">
    <w:name w:val="Standard"/>
    <w:rsid w:val="009A2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9A2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A2D5A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BD64-557F-4696-91E0-973C5588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2022-10-19T10:27:00Z</cp:lastPrinted>
  <dcterms:created xsi:type="dcterms:W3CDTF">2022-10-19T05:40:00Z</dcterms:created>
  <dcterms:modified xsi:type="dcterms:W3CDTF">2022-11-22T11:39:00Z</dcterms:modified>
</cp:coreProperties>
</file>