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7000000">
      <w:pPr>
        <w:widowControl w:val="0"/>
        <w:ind/>
        <w:jc w:val="center"/>
        <w:rPr>
          <w:b w:val="1"/>
          <w:sz w:val="32"/>
        </w:rPr>
      </w:pPr>
      <w:r>
        <w:rPr>
          <w:b w:val="1"/>
          <w:sz w:val="32"/>
        </w:rPr>
        <w:drawing>
          <wp:inline>
            <wp:extent cx="657225" cy="78867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657225" cy="78867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8000000">
      <w:pPr>
        <w:widowControl w:val="0"/>
        <w:ind/>
        <w:jc w:val="center"/>
        <w:rPr>
          <w:sz w:val="28"/>
        </w:rPr>
      </w:pPr>
      <w:r>
        <w:rPr>
          <w:b w:val="1"/>
          <w:sz w:val="32"/>
        </w:rPr>
        <w:t>П</w:t>
      </w:r>
      <w:r>
        <w:rPr>
          <w:b w:val="1"/>
          <w:sz w:val="28"/>
        </w:rPr>
        <w:t xml:space="preserve"> О С Т А Н О В Л Е Н И Е</w:t>
      </w:r>
    </w:p>
    <w:p w14:paraId="09000000">
      <w:pPr>
        <w:widowControl w:val="0"/>
        <w:ind/>
        <w:jc w:val="center"/>
        <w:rPr>
          <w:sz w:val="28"/>
        </w:rPr>
      </w:pPr>
    </w:p>
    <w:p w14:paraId="0A000000">
      <w:pPr>
        <w:widowControl w:val="0"/>
        <w:ind/>
        <w:jc w:val="center"/>
        <w:rPr>
          <w:sz w:val="28"/>
        </w:rPr>
      </w:pPr>
      <w:r>
        <w:rPr>
          <w:sz w:val="28"/>
        </w:rPr>
        <w:t>АДМИНИСТРАЦИИ АНДРОПОВСКОГО МУНИЦИПАЛЬНОГО ОКРУГА</w:t>
      </w:r>
    </w:p>
    <w:p w14:paraId="0B000000">
      <w:pPr>
        <w:widowControl w:val="0"/>
        <w:ind/>
        <w:jc w:val="center"/>
        <w:rPr>
          <w:sz w:val="28"/>
        </w:rPr>
      </w:pPr>
      <w:r>
        <w:rPr>
          <w:sz w:val="28"/>
        </w:rPr>
        <w:t>СТАВРОПОЛЬСКОГО КРАЯ</w:t>
      </w:r>
    </w:p>
    <w:p w14:paraId="0C000000">
      <w:pPr>
        <w:widowControl w:val="0"/>
        <w:ind/>
        <w:jc w:val="center"/>
        <w:rPr>
          <w:sz w:val="28"/>
        </w:rPr>
      </w:pPr>
    </w:p>
    <w:p w14:paraId="0D000000">
      <w:pPr>
        <w:widowControl w:val="0"/>
        <w:ind/>
        <w:jc w:val="both"/>
        <w:rPr>
          <w:sz w:val="28"/>
        </w:rPr>
      </w:pPr>
      <w:r>
        <w:rPr>
          <w:sz w:val="28"/>
        </w:rPr>
        <w:t>28 декабря 2020 г.                         с. Курсавка                                                 № 52</w:t>
      </w:r>
    </w:p>
    <w:p w14:paraId="0E000000">
      <w:pPr>
        <w:widowControl w:val="0"/>
        <w:ind/>
        <w:jc w:val="both"/>
        <w:rPr>
          <w:sz w:val="28"/>
        </w:rPr>
      </w:pPr>
    </w:p>
    <w:p w14:paraId="0F000000">
      <w:pPr>
        <w:widowControl w:val="0"/>
        <w:spacing w:line="240" w:lineRule="exact"/>
        <w:ind/>
        <w:jc w:val="both"/>
        <w:rPr>
          <w:b w:val="1"/>
          <w:sz w:val="28"/>
        </w:rPr>
      </w:pPr>
      <w:r>
        <w:rPr>
          <w:sz w:val="28"/>
        </w:rPr>
        <w:t>Об утверждении муниципальной программы Андроповского муниципального округа Ставропольского края «Обеспечение безопасности жизнедеятельности населения»</w:t>
      </w:r>
    </w:p>
    <w:p w14:paraId="10000000">
      <w:pPr>
        <w:widowControl w:val="0"/>
        <w:tabs>
          <w:tab w:leader="none" w:pos="763" w:val="left"/>
        </w:tabs>
        <w:spacing w:after="120" w:before="0"/>
        <w:ind/>
        <w:jc w:val="both"/>
        <w:rPr>
          <w:sz w:val="24"/>
        </w:rPr>
      </w:pPr>
      <w:r>
        <w:rPr>
          <w:b w:val="1"/>
          <w:sz w:val="24"/>
        </w:rPr>
        <w:t xml:space="preserve">(в редакции постановлений администрации Андроповского муниципального округа Ставропольского края от 13 марта 2022 г. № 183, от 19 апреля 2022 г. № 287, от 08 июня 2022 г. № 412,  от 14.11.2022 №797, от 30.12.2022 №954, от 30.12.2022 №964, от 29.12.2023 №897, от 06.05.2024г. № 302, от 27.09.2024г. № 693, </w:t>
      </w:r>
      <w:r>
        <w:rPr>
          <w:b w:val="1"/>
          <w:sz w:val="24"/>
        </w:rPr>
        <w:t xml:space="preserve">от </w:t>
      </w:r>
      <w:r>
        <w:rPr>
          <w:b w:val="1"/>
          <w:color w:val="000000"/>
          <w:sz w:val="24"/>
        </w:rPr>
        <w:t>27 декабря 2024 г. № 938)</w:t>
      </w:r>
    </w:p>
    <w:p w14:paraId="11000000">
      <w:pPr>
        <w:widowControl w:val="0"/>
        <w:tabs>
          <w:tab w:leader="none" w:pos="763" w:val="left"/>
        </w:tabs>
        <w:spacing w:after="120" w:before="0"/>
        <w:ind/>
        <w:jc w:val="both"/>
        <w:rPr>
          <w:sz w:val="28"/>
        </w:rPr>
      </w:pPr>
    </w:p>
    <w:p w14:paraId="12000000">
      <w:pPr>
        <w:widowControl w:val="0"/>
        <w:spacing w:after="0" w:before="0"/>
        <w:ind w:firstLine="709" w:left="0" w:right="0"/>
        <w:jc w:val="both"/>
        <w:rPr>
          <w:sz w:val="28"/>
        </w:rPr>
      </w:pPr>
      <w:r>
        <w:rPr>
          <w:sz w:val="28"/>
        </w:rPr>
        <w:t>В соответствии с постановлением администрации Андроповского муниципального района Ставропольского края от 30 декабря 2020 г. № 112 «Об утверждении Порядка разработки, реализации и оценки эффективности муниципальных программ Андроповского муниципального района Ставропольского края» администрация Андроповского муниципального округа Ставропольского края</w:t>
      </w:r>
    </w:p>
    <w:p w14:paraId="13000000">
      <w:pPr>
        <w:widowControl w:val="0"/>
        <w:spacing w:line="240" w:lineRule="exact"/>
        <w:ind/>
        <w:jc w:val="both"/>
        <w:rPr>
          <w:sz w:val="28"/>
        </w:rPr>
      </w:pPr>
    </w:p>
    <w:p w14:paraId="14000000">
      <w:pPr>
        <w:widowControl w:val="0"/>
        <w:spacing w:line="240" w:lineRule="exact"/>
        <w:ind/>
        <w:jc w:val="both"/>
        <w:rPr>
          <w:sz w:val="28"/>
        </w:rPr>
      </w:pPr>
      <w:r>
        <w:rPr>
          <w:sz w:val="28"/>
        </w:rPr>
        <w:t>ПОСТАНОВЛЯЕТ:</w:t>
      </w:r>
    </w:p>
    <w:p w14:paraId="15000000">
      <w:pPr>
        <w:widowControl w:val="0"/>
        <w:spacing w:line="240" w:lineRule="exact"/>
        <w:ind/>
        <w:jc w:val="both"/>
        <w:rPr>
          <w:sz w:val="28"/>
        </w:rPr>
      </w:pPr>
    </w:p>
    <w:p w14:paraId="16000000">
      <w:pPr>
        <w:widowControl w:val="0"/>
        <w:ind w:firstLine="709" w:left="0" w:right="0"/>
        <w:jc w:val="both"/>
        <w:rPr>
          <w:sz w:val="28"/>
        </w:rPr>
      </w:pPr>
      <w:r>
        <w:rPr>
          <w:sz w:val="28"/>
        </w:rPr>
        <w:t>1. Утвердить прилагаемую муниципальную программу Андроповского муниципального округа Ставропольского края «Обеспечение безопасности жизнедеятельности населения» на 2021-2026 годы.</w:t>
      </w:r>
    </w:p>
    <w:p w14:paraId="17000000">
      <w:pPr>
        <w:widowControl w:val="0"/>
        <w:ind w:firstLine="709" w:left="0" w:right="0"/>
        <w:jc w:val="both"/>
        <w:rPr>
          <w:sz w:val="28"/>
        </w:rPr>
      </w:pPr>
      <w:r>
        <w:rPr>
          <w:sz w:val="28"/>
        </w:rPr>
        <w:t>2. Настоящее постановление подлежит размещению на официальном сайте администрации Андроповского муниципального округа Ставропольского края в информационно-телекоммуникационной сети «Интернет».</w:t>
      </w:r>
    </w:p>
    <w:p w14:paraId="18000000">
      <w:pPr>
        <w:widowControl w:val="0"/>
        <w:tabs>
          <w:tab w:leader="none" w:pos="567" w:val="left"/>
        </w:tabs>
        <w:ind w:firstLine="709" w:left="0" w:right="0"/>
        <w:jc w:val="both"/>
        <w:rPr>
          <w:sz w:val="28"/>
        </w:rPr>
      </w:pPr>
      <w:r>
        <w:rPr>
          <w:sz w:val="28"/>
        </w:rPr>
        <w:t>3. Настоящее постановление вступает в силу после 01 января 2021 г. и подлежит его официальному обнародованию.</w:t>
      </w:r>
    </w:p>
    <w:p w14:paraId="19000000">
      <w:pPr>
        <w:widowControl w:val="0"/>
        <w:tabs>
          <w:tab w:leader="none" w:pos="567" w:val="left"/>
        </w:tabs>
        <w:ind/>
        <w:jc w:val="both"/>
        <w:rPr>
          <w:sz w:val="28"/>
        </w:rPr>
      </w:pPr>
    </w:p>
    <w:p w14:paraId="1A000000">
      <w:pPr>
        <w:widowControl w:val="0"/>
        <w:tabs>
          <w:tab w:leader="none" w:pos="567" w:val="left"/>
        </w:tabs>
        <w:ind/>
        <w:jc w:val="both"/>
        <w:rPr>
          <w:sz w:val="28"/>
        </w:rPr>
      </w:pPr>
    </w:p>
    <w:p w14:paraId="1B000000">
      <w:pPr>
        <w:widowControl w:val="0"/>
        <w:tabs>
          <w:tab w:leader="none" w:pos="567" w:val="left"/>
        </w:tabs>
        <w:ind/>
        <w:jc w:val="both"/>
        <w:rPr>
          <w:sz w:val="28"/>
        </w:rPr>
      </w:pPr>
    </w:p>
    <w:p w14:paraId="1C000000">
      <w:pPr>
        <w:widowControl w:val="0"/>
        <w:spacing w:line="240" w:lineRule="exact"/>
        <w:ind/>
        <w:jc w:val="both"/>
        <w:rPr>
          <w:sz w:val="28"/>
        </w:rPr>
      </w:pPr>
      <w:r>
        <w:rPr>
          <w:sz w:val="28"/>
        </w:rPr>
        <w:t xml:space="preserve">Глава </w:t>
      </w:r>
    </w:p>
    <w:p w14:paraId="1D000000">
      <w:pPr>
        <w:widowControl w:val="0"/>
        <w:spacing w:line="240" w:lineRule="exact"/>
        <w:ind/>
        <w:jc w:val="both"/>
        <w:rPr>
          <w:sz w:val="28"/>
        </w:rPr>
      </w:pPr>
      <w:r>
        <w:rPr>
          <w:sz w:val="28"/>
        </w:rPr>
        <w:t xml:space="preserve">Андроповского муниципального округа </w:t>
      </w:r>
    </w:p>
    <w:p w14:paraId="1E000000">
      <w:pPr>
        <w:widowControl w:val="0"/>
        <w:spacing w:line="240" w:lineRule="exact"/>
        <w:ind/>
        <w:jc w:val="both"/>
        <w:rPr>
          <w:sz w:val="28"/>
        </w:rPr>
      </w:pPr>
      <w:r>
        <w:rPr>
          <w:sz w:val="28"/>
        </w:rPr>
        <w:t>Ставропольского края                                                                   Н.А. Бобрышева</w:t>
      </w:r>
    </w:p>
    <w:p w14:paraId="1F000000">
      <w:pPr>
        <w:widowControl w:val="0"/>
        <w:spacing w:line="240" w:lineRule="exact"/>
        <w:ind w:firstLine="0" w:left="3540" w:right="0"/>
        <w:jc w:val="center"/>
        <w:rPr>
          <w:sz w:val="28"/>
        </w:rPr>
      </w:pPr>
    </w:p>
    <w:p w14:paraId="20000000">
      <w:pPr>
        <w:widowControl w:val="0"/>
        <w:spacing w:line="240" w:lineRule="exact"/>
        <w:ind w:firstLine="0" w:left="3540" w:right="0"/>
        <w:jc w:val="center"/>
        <w:rPr>
          <w:sz w:val="28"/>
        </w:rPr>
      </w:pPr>
      <w:r>
        <w:rPr>
          <w:sz w:val="28"/>
        </w:rPr>
        <w:t>УТВЕРЖДЕНА</w:t>
      </w:r>
    </w:p>
    <w:p w14:paraId="21000000">
      <w:pPr>
        <w:widowControl w:val="0"/>
        <w:spacing w:line="240" w:lineRule="exact"/>
        <w:ind w:firstLine="0" w:left="3540" w:right="0"/>
        <w:jc w:val="center"/>
        <w:rPr>
          <w:sz w:val="28"/>
        </w:rPr>
      </w:pPr>
    </w:p>
    <w:p w14:paraId="22000000">
      <w:pPr>
        <w:widowControl w:val="0"/>
        <w:spacing w:line="240" w:lineRule="exact"/>
        <w:ind w:firstLine="0" w:left="3540" w:right="0"/>
        <w:jc w:val="center"/>
        <w:rPr>
          <w:sz w:val="28"/>
        </w:rPr>
      </w:pPr>
      <w:r>
        <w:rPr>
          <w:sz w:val="28"/>
        </w:rPr>
        <w:t>постановлением администрации</w:t>
      </w:r>
    </w:p>
    <w:p w14:paraId="23000000">
      <w:pPr>
        <w:widowControl w:val="0"/>
        <w:spacing w:line="240" w:lineRule="exact"/>
        <w:ind w:firstLine="0" w:left="3540" w:right="0"/>
        <w:jc w:val="center"/>
        <w:rPr>
          <w:sz w:val="28"/>
        </w:rPr>
      </w:pPr>
      <w:r>
        <w:rPr>
          <w:sz w:val="28"/>
        </w:rPr>
        <w:t>Андроповского муниципального округа</w:t>
      </w:r>
    </w:p>
    <w:p w14:paraId="24000000">
      <w:pPr>
        <w:widowControl w:val="0"/>
        <w:spacing w:line="240" w:lineRule="exact"/>
        <w:ind w:firstLine="0" w:left="3540" w:right="0"/>
        <w:jc w:val="center"/>
        <w:rPr>
          <w:sz w:val="28"/>
        </w:rPr>
      </w:pPr>
      <w:r>
        <w:rPr>
          <w:sz w:val="28"/>
        </w:rPr>
        <w:t>Ставропольского края</w:t>
      </w:r>
    </w:p>
    <w:p w14:paraId="25000000">
      <w:pPr>
        <w:widowControl w:val="0"/>
        <w:spacing w:line="240" w:lineRule="exact"/>
        <w:ind w:firstLine="0" w:left="3540" w:right="0"/>
        <w:jc w:val="center"/>
        <w:rPr>
          <w:sz w:val="28"/>
        </w:rPr>
      </w:pPr>
      <w:r>
        <w:rPr>
          <w:sz w:val="28"/>
        </w:rPr>
        <w:t>от 28 декабря 2020 г. № 52</w:t>
      </w:r>
    </w:p>
    <w:p w14:paraId="26000000">
      <w:pPr>
        <w:widowControl w:val="0"/>
        <w:spacing w:line="240" w:lineRule="exact"/>
        <w:ind w:firstLine="0" w:left="3540" w:right="0"/>
        <w:jc w:val="center"/>
        <w:rPr>
          <w:sz w:val="28"/>
        </w:rPr>
      </w:pPr>
    </w:p>
    <w:p w14:paraId="27000000">
      <w:pPr>
        <w:widowControl w:val="0"/>
        <w:spacing w:line="240" w:lineRule="exact"/>
        <w:ind w:firstLine="0" w:left="4248" w:right="0"/>
        <w:jc w:val="center"/>
        <w:rPr>
          <w:color w:val="FF0000"/>
          <w:sz w:val="28"/>
        </w:rPr>
      </w:pPr>
    </w:p>
    <w:p w14:paraId="28000000">
      <w:pPr>
        <w:widowControl w:val="0"/>
        <w:spacing w:line="240" w:lineRule="exact"/>
        <w:ind/>
        <w:jc w:val="center"/>
        <w:rPr>
          <w:color w:val="FF0000"/>
          <w:sz w:val="28"/>
        </w:rPr>
      </w:pPr>
      <w:r>
        <w:rPr>
          <w:color w:val="FF0000"/>
          <w:sz w:val="28"/>
        </w:rPr>
        <w:t>МУНИЦИПАЛЬНАЯ ПРОГРАММА</w:t>
      </w:r>
    </w:p>
    <w:p w14:paraId="29000000">
      <w:pPr>
        <w:widowControl w:val="0"/>
        <w:spacing w:line="240" w:lineRule="exact"/>
        <w:ind/>
        <w:jc w:val="center"/>
        <w:rPr>
          <w:color w:val="FF0000"/>
          <w:sz w:val="28"/>
        </w:rPr>
      </w:pPr>
    </w:p>
    <w:p w14:paraId="2A000000">
      <w:pPr>
        <w:widowControl w:val="0"/>
        <w:ind/>
        <w:jc w:val="center"/>
        <w:rPr>
          <w:color w:val="FF0000"/>
          <w:sz w:val="28"/>
        </w:rPr>
      </w:pPr>
      <w:r>
        <w:rPr>
          <w:color w:val="FF0000"/>
          <w:sz w:val="28"/>
        </w:rPr>
        <w:t xml:space="preserve">Андроповского муниципального округа Ставропольского края </w:t>
      </w:r>
    </w:p>
    <w:p w14:paraId="2B000000">
      <w:pPr>
        <w:widowControl w:val="0"/>
        <w:ind/>
        <w:jc w:val="center"/>
        <w:rPr>
          <w:color w:val="FF0000"/>
          <w:sz w:val="28"/>
        </w:rPr>
      </w:pPr>
      <w:r>
        <w:rPr>
          <w:color w:val="FF0000"/>
          <w:sz w:val="28"/>
        </w:rPr>
        <w:t xml:space="preserve">«Обеспечение безопасности жизнедеятельности населения» </w:t>
      </w:r>
    </w:p>
    <w:p w14:paraId="2C000000">
      <w:pPr>
        <w:widowControl w:val="0"/>
        <w:ind/>
        <w:jc w:val="center"/>
        <w:rPr>
          <w:color w:val="00B050"/>
          <w:sz w:val="28"/>
        </w:rPr>
      </w:pPr>
      <w:r>
        <w:rPr>
          <w:color w:val="FF0000"/>
          <w:sz w:val="28"/>
        </w:rPr>
        <w:t>(в редакции постановления администрации Андроповского муниципального округа Ставропольского края от 13 марта 2022 г. № 183)</w:t>
      </w:r>
    </w:p>
    <w:p w14:paraId="2D000000">
      <w:pPr>
        <w:widowControl w:val="0"/>
        <w:ind/>
        <w:jc w:val="center"/>
        <w:rPr>
          <w:color w:val="00B0F0"/>
          <w:sz w:val="28"/>
        </w:rPr>
      </w:pPr>
      <w:r>
        <w:rPr>
          <w:color w:val="00B050"/>
          <w:sz w:val="28"/>
        </w:rPr>
        <w:t>(в редакции постановления администрации Андроповского муниципального округа Ставропольского края от 19 апреля 2022 г. № 287)</w:t>
      </w:r>
    </w:p>
    <w:p w14:paraId="2E000000">
      <w:pPr>
        <w:widowControl w:val="0"/>
        <w:ind/>
        <w:jc w:val="center"/>
        <w:rPr>
          <w:color w:val="E36C0A"/>
          <w:sz w:val="28"/>
        </w:rPr>
      </w:pPr>
      <w:r>
        <w:rPr>
          <w:color w:val="00B0F0"/>
          <w:sz w:val="28"/>
        </w:rPr>
        <w:t>(в редакции постановления администрации Андроповского муниципального округа Ставропольского края от 08 июня 2022 г. № 412)</w:t>
      </w:r>
    </w:p>
    <w:p w14:paraId="2F000000">
      <w:pPr>
        <w:widowControl w:val="0"/>
        <w:ind/>
        <w:jc w:val="center"/>
        <w:rPr>
          <w:color w:val="7030A0"/>
          <w:sz w:val="28"/>
        </w:rPr>
      </w:pPr>
      <w:r>
        <w:rPr>
          <w:color w:val="E36C0A"/>
          <w:sz w:val="28"/>
        </w:rPr>
        <w:t>(в редакции постановления администрации Андроповского муниципального округа Ставропольского края от 28 июля 2022 г. № 545)</w:t>
      </w:r>
    </w:p>
    <w:p w14:paraId="30000000">
      <w:pPr>
        <w:widowControl w:val="0"/>
        <w:ind/>
        <w:jc w:val="center"/>
        <w:rPr>
          <w:color w:val="4F6228"/>
          <w:sz w:val="28"/>
        </w:rPr>
      </w:pPr>
      <w:r>
        <w:rPr>
          <w:color w:val="7030A0"/>
          <w:sz w:val="28"/>
        </w:rPr>
        <w:t>(в редакции постановления администрации Андроповского муниципального округа Ставропольского края от 16 сентября 2022 г. № 670)</w:t>
      </w:r>
    </w:p>
    <w:p w14:paraId="31000000">
      <w:pPr>
        <w:widowControl w:val="0"/>
        <w:ind/>
        <w:jc w:val="center"/>
        <w:rPr>
          <w:color w:val="E664CD"/>
          <w:sz w:val="28"/>
        </w:rPr>
      </w:pPr>
      <w:r>
        <w:rPr>
          <w:color w:val="4F6228"/>
          <w:sz w:val="28"/>
        </w:rPr>
        <w:t>(в редакции постановления администрации Андроповского муниципального округа Ставропольского края от 14 ноября 2022 г. № 797)</w:t>
      </w:r>
    </w:p>
    <w:p w14:paraId="32000000">
      <w:pPr>
        <w:widowControl w:val="0"/>
        <w:ind/>
        <w:jc w:val="center"/>
        <w:rPr>
          <w:color w:val="984806"/>
          <w:sz w:val="28"/>
        </w:rPr>
      </w:pPr>
      <w:r>
        <w:rPr>
          <w:color w:val="E664CD"/>
          <w:sz w:val="28"/>
        </w:rPr>
        <w:t>(в редакции постановления администрации Андроповского муниципального округа Ставропольского края от 30 декабря 2022 г. № 964)</w:t>
      </w:r>
    </w:p>
    <w:p w14:paraId="33000000">
      <w:pPr>
        <w:widowControl w:val="0"/>
        <w:ind/>
        <w:jc w:val="center"/>
        <w:rPr>
          <w:color w:val="C00000"/>
          <w:sz w:val="28"/>
        </w:rPr>
      </w:pPr>
      <w:r>
        <w:rPr>
          <w:color w:val="984806"/>
          <w:sz w:val="28"/>
        </w:rPr>
        <w:t>(в редакции постановления администрации Андроповского муниципального округа Ставропольского края от 02 июня 2023 г. № 348)</w:t>
      </w:r>
    </w:p>
    <w:p w14:paraId="34000000">
      <w:pPr>
        <w:widowControl w:val="0"/>
        <w:ind/>
        <w:jc w:val="center"/>
        <w:rPr>
          <w:color w:val="002060"/>
          <w:sz w:val="28"/>
        </w:rPr>
      </w:pPr>
      <w:r>
        <w:rPr>
          <w:color w:val="C00000"/>
          <w:sz w:val="28"/>
        </w:rPr>
        <w:t>(в редакции постановления администрации Андроповского муниципального округа Ставропольского края от 23 августа 2023 г. № 540)</w:t>
      </w:r>
    </w:p>
    <w:p w14:paraId="35000000">
      <w:pPr>
        <w:widowControl w:val="0"/>
        <w:ind/>
        <w:jc w:val="center"/>
        <w:rPr>
          <w:color w:val="FFC000"/>
          <w:sz w:val="28"/>
        </w:rPr>
      </w:pPr>
      <w:r>
        <w:rPr>
          <w:color w:val="002060"/>
          <w:sz w:val="28"/>
        </w:rPr>
        <w:t>(в редакции постановления администрации Андроповского муниципального округа Ставропольского края от 29 декабря 2023 г. № 898)</w:t>
      </w:r>
    </w:p>
    <w:p w14:paraId="36000000">
      <w:pPr>
        <w:widowControl w:val="0"/>
        <w:ind/>
        <w:jc w:val="center"/>
        <w:rPr>
          <w:color w:val="76923C"/>
          <w:sz w:val="28"/>
        </w:rPr>
      </w:pPr>
      <w:r>
        <w:rPr>
          <w:color w:val="FFC000"/>
          <w:sz w:val="28"/>
        </w:rPr>
        <w:t>(в редакции постановления администрации Андроповского муниципального округа Ставропольского края от 06 мая 2024 г. № 302)</w:t>
      </w:r>
    </w:p>
    <w:p w14:paraId="37000000">
      <w:pPr>
        <w:widowControl w:val="0"/>
        <w:ind/>
        <w:jc w:val="center"/>
        <w:rPr>
          <w:color w:val="D99594"/>
          <w:sz w:val="28"/>
        </w:rPr>
      </w:pPr>
      <w:r>
        <w:rPr>
          <w:color w:val="76923C"/>
          <w:sz w:val="28"/>
        </w:rPr>
        <w:t>(в редакции постановления администрации Андроповского муниципального округа Ставропольского края от 27 сентября 2024 г. № 693)</w:t>
      </w:r>
    </w:p>
    <w:p w14:paraId="38000000">
      <w:pPr>
        <w:widowControl w:val="0"/>
        <w:ind/>
        <w:jc w:val="center"/>
        <w:rPr>
          <w:color w:val="FF0000"/>
          <w:sz w:val="28"/>
        </w:rPr>
      </w:pPr>
      <w:r>
        <w:rPr>
          <w:color w:val="D99594"/>
          <w:sz w:val="28"/>
        </w:rPr>
        <w:t>(в редакции постановления администрации Андроповского муниципального округа Ставропольского края от 27 декабря 2024 г. № 938)</w:t>
      </w:r>
    </w:p>
    <w:p w14:paraId="39000000">
      <w:pPr>
        <w:widowControl w:val="0"/>
        <w:spacing w:line="240" w:lineRule="exact"/>
        <w:ind/>
        <w:jc w:val="center"/>
        <w:rPr>
          <w:color w:val="FF0000"/>
          <w:sz w:val="28"/>
        </w:rPr>
      </w:pPr>
    </w:p>
    <w:p w14:paraId="3A000000">
      <w:pPr>
        <w:widowControl w:val="0"/>
        <w:spacing w:line="240" w:lineRule="exact"/>
        <w:ind/>
        <w:jc w:val="center"/>
        <w:rPr>
          <w:color w:val="00B0F0"/>
          <w:sz w:val="28"/>
        </w:rPr>
      </w:pPr>
    </w:p>
    <w:p w14:paraId="3B000000">
      <w:pPr>
        <w:widowControl w:val="0"/>
        <w:spacing w:line="240" w:lineRule="exact"/>
        <w:ind/>
        <w:jc w:val="center"/>
        <w:rPr>
          <w:color w:val="00B0F0"/>
          <w:sz w:val="28"/>
        </w:rPr>
      </w:pPr>
      <w:r>
        <w:rPr>
          <w:color w:val="00B0F0"/>
          <w:sz w:val="28"/>
        </w:rPr>
        <w:t>ПАСПОРТ</w:t>
      </w:r>
    </w:p>
    <w:p w14:paraId="3C000000">
      <w:pPr>
        <w:widowControl w:val="0"/>
        <w:spacing w:line="240" w:lineRule="exact"/>
        <w:ind/>
        <w:jc w:val="center"/>
        <w:rPr>
          <w:color w:val="00B0F0"/>
          <w:sz w:val="28"/>
        </w:rPr>
      </w:pPr>
    </w:p>
    <w:p w14:paraId="3D000000">
      <w:pPr>
        <w:widowControl w:val="0"/>
        <w:spacing w:line="240" w:lineRule="exact"/>
        <w:ind/>
        <w:jc w:val="center"/>
        <w:rPr>
          <w:color w:val="00B0F0"/>
          <w:sz w:val="28"/>
        </w:rPr>
      </w:pPr>
      <w:r>
        <w:rPr>
          <w:color w:val="00B0F0"/>
          <w:sz w:val="28"/>
        </w:rPr>
        <w:t xml:space="preserve">муниципальной программы </w:t>
      </w:r>
    </w:p>
    <w:p w14:paraId="3E000000">
      <w:pPr>
        <w:widowControl w:val="0"/>
        <w:spacing w:line="240" w:lineRule="exact"/>
        <w:ind/>
        <w:jc w:val="center"/>
        <w:rPr>
          <w:color w:val="00B0F0"/>
          <w:sz w:val="28"/>
        </w:rPr>
      </w:pPr>
      <w:r>
        <w:rPr>
          <w:color w:val="00B0F0"/>
          <w:sz w:val="28"/>
        </w:rPr>
        <w:t xml:space="preserve">Андроповского муниципального округа Ставропольского края </w:t>
      </w:r>
    </w:p>
    <w:p w14:paraId="3F000000">
      <w:pPr>
        <w:widowControl w:val="0"/>
        <w:spacing w:line="240" w:lineRule="exact"/>
        <w:ind/>
        <w:jc w:val="center"/>
        <w:rPr>
          <w:color w:val="00B0F0"/>
          <w:sz w:val="28"/>
        </w:rPr>
      </w:pPr>
      <w:r>
        <w:rPr>
          <w:color w:val="00B0F0"/>
          <w:sz w:val="28"/>
        </w:rPr>
        <w:t xml:space="preserve">«Обеспечение безопасности жизнедеятельности населения» </w:t>
      </w:r>
    </w:p>
    <w:p w14:paraId="40000000">
      <w:pPr>
        <w:widowControl w:val="0"/>
        <w:spacing w:line="240" w:lineRule="exact"/>
        <w:ind/>
        <w:jc w:val="center"/>
        <w:rPr>
          <w:color w:val="00B0F0"/>
          <w:sz w:val="28"/>
        </w:rPr>
      </w:pPr>
    </w:p>
    <w:tbl>
      <w:tblPr>
        <w:tblStyle w:val="Style_4"/>
        <w:tblW w:type="auto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2943"/>
        <w:gridCol w:w="6379"/>
      </w:tblGrid>
      <w:tr>
        <w:tc>
          <w:tcPr>
            <w:tcW w:type="dxa" w:w="2943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 xml:space="preserve">Наименование </w:t>
            </w:r>
          </w:p>
          <w:p w14:paraId="42000000">
            <w:pPr>
              <w:widowControl w:val="0"/>
              <w:ind/>
              <w:jc w:val="both"/>
            </w:pPr>
            <w:r>
              <w:rPr>
                <w:color w:val="00B0F0"/>
                <w:sz w:val="28"/>
              </w:rPr>
              <w:t>Программы</w:t>
            </w:r>
          </w:p>
        </w:tc>
        <w:tc>
          <w:tcPr>
            <w:tcW w:type="dxa" w:w="637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 xml:space="preserve">Муниципальная программа Андроповского муниципального округа Ставропольского края </w:t>
            </w:r>
          </w:p>
          <w:p w14:paraId="44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«Обеспечение безопасности жизнедеятельности населения» (далее – Программа)</w:t>
            </w:r>
          </w:p>
          <w:p w14:paraId="45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</w:p>
        </w:tc>
      </w:tr>
      <w:tr>
        <w:tc>
          <w:tcPr>
            <w:tcW w:type="dxa" w:w="2943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 xml:space="preserve">Ответственный </w:t>
            </w:r>
          </w:p>
          <w:p w14:paraId="47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 xml:space="preserve">исполнитель </w:t>
            </w:r>
          </w:p>
          <w:p w14:paraId="48000000">
            <w:pPr>
              <w:widowControl w:val="0"/>
              <w:ind/>
              <w:jc w:val="both"/>
            </w:pPr>
            <w:r>
              <w:rPr>
                <w:color w:val="00B0F0"/>
                <w:sz w:val="28"/>
              </w:rPr>
              <w:t>Программы</w:t>
            </w:r>
          </w:p>
        </w:tc>
        <w:tc>
          <w:tcPr>
            <w:tcW w:type="dxa" w:w="637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Администрация Андроповского муниципального округа Ставропольского края  (отдел по гражданской обороне, защите от чрезвычайных ситуаций, мобилизационной работе и общественной безопасности администрации</w:t>
            </w:r>
            <w:r>
              <w:rPr>
                <w:color w:val="00B0F0"/>
              </w:rPr>
              <w:t xml:space="preserve"> </w:t>
            </w:r>
            <w:r>
              <w:rPr>
                <w:color w:val="00B0F0"/>
                <w:sz w:val="28"/>
              </w:rPr>
              <w:t>Андроповского муниципального округа Ставропольского края) (далее – администрация округа (Отдел ГО)</w:t>
            </w:r>
          </w:p>
          <w:p w14:paraId="4A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</w:p>
        </w:tc>
      </w:tr>
      <w:tr>
        <w:tc>
          <w:tcPr>
            <w:tcW w:type="dxa" w:w="2943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Соисполнители</w:t>
            </w:r>
          </w:p>
          <w:p w14:paraId="4C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Программы</w:t>
            </w:r>
          </w:p>
          <w:p w14:paraId="4D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</w:p>
        </w:tc>
        <w:tc>
          <w:tcPr>
            <w:tcW w:type="dxa" w:w="637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Отдел образования администрации Андроповского муниципального округа Ставропольского края (далее – Отдел образования);</w:t>
            </w:r>
          </w:p>
          <w:p w14:paraId="4F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Отдел культуры администрации Андроповского муниципального округа Ставропольского края (далее – Отдел культуры);</w:t>
            </w:r>
          </w:p>
          <w:p w14:paraId="50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Территориальные отделы администрации Андроповского муниципального округа Ставропольского края</w:t>
            </w:r>
          </w:p>
          <w:p w14:paraId="51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</w:p>
        </w:tc>
      </w:tr>
      <w:tr>
        <w:tc>
          <w:tcPr>
            <w:tcW w:type="dxa" w:w="2943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 xml:space="preserve">Участники </w:t>
            </w:r>
          </w:p>
          <w:p w14:paraId="53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Программы</w:t>
            </w:r>
          </w:p>
          <w:p w14:paraId="54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</w:p>
        </w:tc>
        <w:tc>
          <w:tcPr>
            <w:tcW w:type="dxa" w:w="637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00000">
            <w:pPr>
              <w:widowControl w:val="0"/>
              <w:ind/>
              <w:jc w:val="both"/>
            </w:pPr>
            <w:r>
              <w:rPr>
                <w:color w:val="00B0F0"/>
                <w:sz w:val="28"/>
              </w:rPr>
              <w:t>Муниципальное бюджетное учреждение «Единая дежурно-диспетчерская служба Андроповского муниципального округа» (далее – ЕДДС АМО)</w:t>
            </w:r>
          </w:p>
        </w:tc>
      </w:tr>
      <w:tr>
        <w:tc>
          <w:tcPr>
            <w:tcW w:type="dxa" w:w="2943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 xml:space="preserve">Подпрограммы </w:t>
            </w:r>
          </w:p>
          <w:p w14:paraId="57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Программы</w:t>
            </w:r>
          </w:p>
          <w:p w14:paraId="58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</w:p>
        </w:tc>
        <w:tc>
          <w:tcPr>
            <w:tcW w:type="dxa" w:w="637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подпрограмма «Снижение рисков и повышение уровня защищенности населения и территорий округа от угроз чрезвычайных ситуаций природного и техногенного характера»;</w:t>
            </w:r>
          </w:p>
          <w:p w14:paraId="5A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подпрограмма «Система комплексного обеспечения безопасности жизнедеятельности, профилактика терроризма и экстремизма»</w:t>
            </w:r>
          </w:p>
          <w:p w14:paraId="5B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</w:p>
        </w:tc>
      </w:tr>
      <w:tr>
        <w:tc>
          <w:tcPr>
            <w:tcW w:type="dxa" w:w="2943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Цели Программы</w:t>
            </w:r>
          </w:p>
          <w:p w14:paraId="5D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</w:p>
        </w:tc>
        <w:tc>
          <w:tcPr>
            <w:tcW w:type="dxa" w:w="637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создание безопасной среды проживания</w:t>
            </w:r>
            <w:r>
              <w:rPr>
                <w:color w:val="00B0F0"/>
                <w:sz w:val="28"/>
              </w:rPr>
              <w:t xml:space="preserve"> на территории Андроповского муниципального округа  Ставропольского края</w:t>
            </w:r>
          </w:p>
          <w:p w14:paraId="5F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</w:p>
        </w:tc>
      </w:tr>
      <w:tr>
        <w:tc>
          <w:tcPr>
            <w:tcW w:type="dxa" w:w="2943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 xml:space="preserve">Индикаторы достижения целей </w:t>
            </w:r>
          </w:p>
          <w:p w14:paraId="61000000">
            <w:pPr>
              <w:widowControl w:val="0"/>
              <w:tabs>
                <w:tab w:leader="none" w:pos="1125" w:val="left"/>
              </w:tabs>
              <w:ind/>
              <w:jc w:val="both"/>
            </w:pPr>
            <w:r>
              <w:rPr>
                <w:color w:val="00B0F0"/>
                <w:sz w:val="28"/>
              </w:rPr>
              <w:t>Программы</w:t>
            </w:r>
          </w:p>
        </w:tc>
        <w:tc>
          <w:tcPr>
            <w:tcW w:type="dxa" w:w="637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00000">
            <w:pPr>
              <w:widowControl w:val="0"/>
              <w:tabs>
                <w:tab w:leader="none" w:pos="916" w:val="left"/>
                <w:tab w:leader="none" w:pos="1832" w:val="left"/>
                <w:tab w:leader="none" w:pos="2748" w:val="left"/>
                <w:tab w:leader="none" w:pos="3664" w:val="left"/>
                <w:tab w:leader="none" w:pos="4580" w:val="left"/>
                <w:tab w:leader="none" w:pos="5496" w:val="left"/>
                <w:tab w:leader="none" w:pos="6412" w:val="left"/>
                <w:tab w:leader="none" w:pos="7328" w:val="left"/>
                <w:tab w:leader="none" w:pos="8244" w:val="left"/>
                <w:tab w:leader="none" w:pos="9160" w:val="left"/>
                <w:tab w:leader="none" w:pos="10076" w:val="left"/>
                <w:tab w:leader="none" w:pos="10992" w:val="left"/>
                <w:tab w:leader="none" w:pos="11908" w:val="left"/>
                <w:tab w:leader="none" w:pos="12824" w:val="left"/>
                <w:tab w:leader="none" w:pos="13740" w:val="left"/>
                <w:tab w:leader="none" w:pos="14656" w:val="left"/>
              </w:tabs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количество чрезвычайных ситуаций различного характера</w:t>
            </w:r>
          </w:p>
          <w:p w14:paraId="63000000">
            <w:pPr>
              <w:widowControl w:val="0"/>
              <w:tabs>
                <w:tab w:leader="none" w:pos="916" w:val="left"/>
                <w:tab w:leader="none" w:pos="1832" w:val="left"/>
                <w:tab w:leader="none" w:pos="2748" w:val="left"/>
                <w:tab w:leader="none" w:pos="3664" w:val="left"/>
                <w:tab w:leader="none" w:pos="4580" w:val="left"/>
                <w:tab w:leader="none" w:pos="5496" w:val="left"/>
                <w:tab w:leader="none" w:pos="6412" w:val="left"/>
                <w:tab w:leader="none" w:pos="7328" w:val="left"/>
                <w:tab w:leader="none" w:pos="8244" w:val="left"/>
                <w:tab w:leader="none" w:pos="9160" w:val="left"/>
                <w:tab w:leader="none" w:pos="10076" w:val="left"/>
                <w:tab w:leader="none" w:pos="10992" w:val="left"/>
                <w:tab w:leader="none" w:pos="11908" w:val="left"/>
                <w:tab w:leader="none" w:pos="12824" w:val="left"/>
                <w:tab w:leader="none" w:pos="13740" w:val="left"/>
                <w:tab w:leader="none" w:pos="14656" w:val="left"/>
              </w:tabs>
              <w:ind/>
              <w:jc w:val="both"/>
              <w:rPr>
                <w:color w:val="00B0F0"/>
                <w:sz w:val="28"/>
              </w:rPr>
            </w:pPr>
          </w:p>
        </w:tc>
      </w:tr>
      <w:tr>
        <w:tc>
          <w:tcPr>
            <w:tcW w:type="dxa" w:w="2943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00000">
            <w:pPr>
              <w:widowControl w:val="0"/>
              <w:ind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Сроки реализации Программы</w:t>
            </w:r>
          </w:p>
          <w:p w14:paraId="65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</w:p>
        </w:tc>
        <w:tc>
          <w:tcPr>
            <w:tcW w:type="dxa" w:w="637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2021-2026 годы</w:t>
            </w:r>
          </w:p>
          <w:p w14:paraId="67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</w:p>
        </w:tc>
      </w:tr>
      <w:tr>
        <w:tc>
          <w:tcPr>
            <w:tcW w:type="dxa" w:w="2943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Объемы и источники финансового обеспечения Программы</w:t>
            </w:r>
          </w:p>
          <w:p w14:paraId="69000000">
            <w:pPr>
              <w:widowControl w:val="0"/>
              <w:ind/>
              <w:rPr>
                <w:color w:val="D99594"/>
                <w:sz w:val="28"/>
              </w:rPr>
            </w:pPr>
          </w:p>
        </w:tc>
        <w:tc>
          <w:tcPr>
            <w:tcW w:type="dxa" w:w="637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0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объем финансового обеспечения Программы составит 81 118,29 тыс. рублей, в том числе по источникам финансового обеспечения:</w:t>
            </w:r>
          </w:p>
          <w:p w14:paraId="6B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бюджет Андроповского муниципального округа Ставропольского края (далее – бюджет округа)- 23 303,27 тыс. рублей, в том числе по годам:</w:t>
            </w:r>
          </w:p>
          <w:p w14:paraId="6C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2021 год – 4 059,18 тыс. рублей;</w:t>
            </w:r>
          </w:p>
          <w:p w14:paraId="6D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2022 год – 7 865,49 тыс. рублей;</w:t>
            </w:r>
          </w:p>
          <w:p w14:paraId="6E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2023 год – 2 863,96 тыс. рублей;</w:t>
            </w:r>
          </w:p>
          <w:p w14:paraId="6F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2024 год – 2 636,72 тыс. рублей;</w:t>
            </w:r>
          </w:p>
          <w:p w14:paraId="70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2025 год – 2 938,96 тыс. рублей;</w:t>
            </w:r>
          </w:p>
          <w:p w14:paraId="71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2026 год – 2 938,96 тыс. рублей;</w:t>
            </w:r>
          </w:p>
          <w:p w14:paraId="72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за счет межбюджетных трансфертов 5 920,42 тыс. рублей, в том числе по годам:</w:t>
            </w:r>
          </w:p>
          <w:p w14:paraId="73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2021 год – 678,46</w:t>
            </w:r>
            <w:r>
              <w:rPr>
                <w:color w:val="D99594"/>
                <w:sz w:val="28"/>
              </w:rPr>
              <w:tab/>
            </w:r>
            <w:r>
              <w:rPr>
                <w:color w:val="D99594"/>
                <w:sz w:val="28"/>
              </w:rPr>
              <w:t>тыс. рублей;</w:t>
            </w:r>
          </w:p>
          <w:p w14:paraId="74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2022 год – 4 841,96 тыс. рублей;</w:t>
            </w:r>
          </w:p>
          <w:p w14:paraId="75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2023 год – 100,00 тыс. рублей;</w:t>
            </w:r>
          </w:p>
          <w:p w14:paraId="76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2024 год – 100,00 тыс. рублей;</w:t>
            </w:r>
          </w:p>
          <w:p w14:paraId="77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2025 год – 100,00 тыс. рублей;</w:t>
            </w:r>
          </w:p>
          <w:p w14:paraId="78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2026 год – 100,00 тыс. рублей;</w:t>
            </w:r>
          </w:p>
          <w:p w14:paraId="79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внебюджетные средства и иные источники 300,00 тыс. рублей, в том числе по годам:</w:t>
            </w:r>
          </w:p>
          <w:p w14:paraId="7A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2021 год – 50,00 тыс. рублей;</w:t>
            </w:r>
          </w:p>
          <w:p w14:paraId="7B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2022 год – 50,00 тыс. рублей;</w:t>
            </w:r>
          </w:p>
          <w:p w14:paraId="7C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2023 год – 50,00 тыс. рублей;</w:t>
            </w:r>
          </w:p>
          <w:p w14:paraId="7D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2024 год – 50,00 тыс. рублей;</w:t>
            </w:r>
          </w:p>
          <w:p w14:paraId="7E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2025 год – 50,00 тыс. рублей;</w:t>
            </w:r>
          </w:p>
          <w:p w14:paraId="7F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2026 год – 50,00 тыс. рублей;</w:t>
            </w:r>
          </w:p>
          <w:p w14:paraId="8000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средства участников Программы 57 514,99 тыс. рублей, в том числе по годам:</w:t>
            </w:r>
          </w:p>
          <w:p w14:paraId="81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2021 год – 7 412,18 тыс. рублей;</w:t>
            </w:r>
          </w:p>
          <w:p w14:paraId="82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2022 год – 8 844,93 тыс. рублей;</w:t>
            </w:r>
          </w:p>
          <w:p w14:paraId="83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2023 год – 9 806,22 тыс. рублей;</w:t>
            </w:r>
          </w:p>
          <w:p w14:paraId="84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2024 год – 11 143,16 тыс. рублей;</w:t>
            </w:r>
          </w:p>
          <w:p w14:paraId="85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2025 год – 10 154,25 тыс. рублей;</w:t>
            </w:r>
          </w:p>
          <w:p w14:paraId="86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2026 год – 10 154,25 тыс. рублей.</w:t>
            </w:r>
          </w:p>
          <w:p w14:paraId="87000000">
            <w:pPr>
              <w:widowControl w:val="0"/>
              <w:ind/>
              <w:rPr>
                <w:color w:val="D99594"/>
                <w:sz w:val="28"/>
              </w:rPr>
            </w:pPr>
          </w:p>
        </w:tc>
      </w:tr>
      <w:tr>
        <w:tc>
          <w:tcPr>
            <w:tcW w:type="dxa" w:w="2943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 xml:space="preserve">Ожидаемые результаты реализации </w:t>
            </w:r>
          </w:p>
          <w:p w14:paraId="89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Программы</w:t>
            </w:r>
          </w:p>
          <w:p w14:paraId="8A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</w:p>
        </w:tc>
        <w:tc>
          <w:tcPr>
            <w:tcW w:type="dxa" w:w="637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отсутствие чрезвычайных ситуаций различного характера</w:t>
            </w:r>
          </w:p>
          <w:p w14:paraId="8C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</w:p>
        </w:tc>
      </w:tr>
    </w:tbl>
    <w:p w14:paraId="8D000000">
      <w:pPr>
        <w:widowControl w:val="0"/>
        <w:ind w:firstLine="709" w:left="0" w:right="0"/>
        <w:jc w:val="center"/>
        <w:rPr>
          <w:color w:val="00B0F0"/>
          <w:sz w:val="28"/>
        </w:rPr>
      </w:pPr>
      <w:r>
        <w:rPr>
          <w:color w:val="00B0F0"/>
          <w:sz w:val="28"/>
        </w:rPr>
        <w:t>Приоритеты и цели реализуемой в Андроповском муниципальном округе Ставропольского края муниципальной политики в соответствующей сфере социально-экономического развития территории</w:t>
      </w:r>
    </w:p>
    <w:p w14:paraId="8E000000">
      <w:pPr>
        <w:widowControl w:val="0"/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>Основным приоритетным направлением деятельности Андроповского муниципального округа Ставропольского края (далее – округ) по защите населения и территорий от чрезвычайных ситуаций и террористических актов, является предупреждение и ликвидация чрезвычайных ситуаций различного характера, спасение людей, материально-культурных ценностей и оказание помощи населению, пострадавшему в результате чрезвычайных ситуаций и террористических актов, обеспечение пожарной безопасности.</w:t>
      </w:r>
    </w:p>
    <w:p w14:paraId="8F000000">
      <w:pPr>
        <w:widowControl w:val="0"/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>В соответствии с долгосрочными приоритетами, а также с учетом оценки текущего состояния в сфере защиты населения и территории от чрезвычайных ситуаций определены цели и задачи Программы.</w:t>
      </w:r>
    </w:p>
    <w:p w14:paraId="90000000">
      <w:pPr>
        <w:widowControl w:val="0"/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>Целью Программы является создание безопасной среды проживания на территории Андроповского муниципального округа  Ставропольского края.</w:t>
      </w:r>
    </w:p>
    <w:p w14:paraId="91000000">
      <w:pPr>
        <w:widowControl w:val="0"/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>Процесс достижения поставленной цели предполагает решение следующих тактических задач:</w:t>
      </w:r>
    </w:p>
    <w:p w14:paraId="92000000">
      <w:pPr>
        <w:widowControl w:val="0"/>
        <w:tabs>
          <w:tab w:leader="none" w:pos="1110" w:val="left"/>
        </w:tabs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 xml:space="preserve">разработка и осуществление  комплекса превентивных мероприятий, направленных на максимально возможное предотвращение чрезвычайных ситуаций природного и техногенного характера, </w:t>
      </w:r>
    </w:p>
    <w:p w14:paraId="93000000">
      <w:pPr>
        <w:widowControl w:val="0"/>
        <w:tabs>
          <w:tab w:leader="none" w:pos="1110" w:val="left"/>
        </w:tabs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>разработка и осуществление  комплекса превентивных мероприятий, направленных на повышение готовности, расширение возможности (спектра применения) аварийно- спасательных сил и развитие единой дежурно - диспетчерской службы и Системы обеспечения вызова экстренных оперативных служб по единому номеру «112»;</w:t>
      </w:r>
    </w:p>
    <w:p w14:paraId="94000000">
      <w:pPr>
        <w:widowControl w:val="0"/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>развитие и обеспечение функционирования системы комплексного обеспечения безопасности жизнедеятельности округа на основе внедрения информационно-коммуникационных технологий.</w:t>
      </w:r>
    </w:p>
    <w:p w14:paraId="95000000">
      <w:pPr>
        <w:widowControl w:val="0"/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>Решение этих задач позволит осуществлять систему мер по предупреждению и ликвидации чрезвычайных ситуаций, управлять рисками, что является основой достижения целей Программы.</w:t>
      </w:r>
    </w:p>
    <w:p w14:paraId="96000000">
      <w:pPr>
        <w:widowControl w:val="0"/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>Для оценки наиболее существенных результатов реализации программы предусмотрены целевые индикаторы и показатели достижения целей и решения задач Программы. Состав целевых индикаторов и показателей Программы увязан с их задачами, основными мероприятиями, что позволяет оценить ожидаемые конечные результаты, эффективность Программы на весь период ее реализации.</w:t>
      </w:r>
    </w:p>
    <w:p w14:paraId="97000000">
      <w:pPr>
        <w:widowControl w:val="0"/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>Исходя из масштаба и сложности задач, решаемых в рамках Программы, в нее включены:</w:t>
      </w:r>
    </w:p>
    <w:p w14:paraId="98000000">
      <w:pPr>
        <w:widowControl w:val="0"/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>подпрограмма «Снижение рисков и повышение уровня защищенности населения и территорий округа от угроз чрезвычайных ситуаций природного и техногенного характера» (приведена в приложении 1 к Программе);</w:t>
      </w:r>
    </w:p>
    <w:p w14:paraId="99000000">
      <w:pPr>
        <w:widowControl w:val="0"/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>подпрограмма «Система комплексного обеспечения безопасности жизнедеятельности, профилактика терроризма и экстремизма» (приведена в приложении 2 к Программе).</w:t>
      </w:r>
    </w:p>
    <w:p w14:paraId="9A000000">
      <w:pPr>
        <w:widowControl w:val="0"/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>Сведения об индикаторах достижения целей Программы, и показателях решения задач подпрограмм Программы и их значениях приведены в таблице 1 приложения 3.</w:t>
      </w:r>
    </w:p>
    <w:p w14:paraId="9B000000">
      <w:pPr>
        <w:widowControl w:val="0"/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>Перечень основных мероприятий Программы приведен в таблице 2 приложения 3.</w:t>
      </w:r>
    </w:p>
    <w:p w14:paraId="9C000000">
      <w:pPr>
        <w:widowControl w:val="0"/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>Объемы и источники финансового обеспечения Программы приведены в таблице 3 приложения 3.</w:t>
      </w:r>
    </w:p>
    <w:p w14:paraId="9D000000">
      <w:pPr>
        <w:widowControl w:val="0"/>
        <w:ind w:firstLine="709" w:left="0" w:right="0"/>
        <w:jc w:val="both"/>
        <w:rPr>
          <w:color w:val="FF0000"/>
          <w:sz w:val="28"/>
        </w:rPr>
      </w:pPr>
      <w:r>
        <w:rPr>
          <w:color w:val="00B0F0"/>
          <w:sz w:val="28"/>
        </w:rPr>
        <w:t>Сведения о весовых коэффициентах, присвоенных целям Программы задачам подпрограмм Программы в таблице 4</w:t>
      </w:r>
      <w:r>
        <w:rPr>
          <w:color w:val="00B0F0"/>
          <w:sz w:val="28"/>
          <w:vertAlign w:val="superscript"/>
        </w:rPr>
        <w:t xml:space="preserve"> </w:t>
      </w:r>
      <w:r>
        <w:rPr>
          <w:color w:val="00B0F0"/>
          <w:sz w:val="28"/>
        </w:rPr>
        <w:t>приложения 3.</w:t>
      </w:r>
    </w:p>
    <w:p w14:paraId="9E000000">
      <w:pPr>
        <w:widowControl w:val="0"/>
        <w:ind w:firstLine="709" w:left="0" w:right="0"/>
        <w:jc w:val="both"/>
        <w:rPr>
          <w:color w:val="FF0000"/>
          <w:sz w:val="28"/>
        </w:rPr>
      </w:pPr>
    </w:p>
    <w:p w14:paraId="9F000000">
      <w:pPr>
        <w:widowControl w:val="0"/>
        <w:ind w:firstLine="709" w:left="0" w:right="0"/>
        <w:jc w:val="both"/>
        <w:rPr>
          <w:color w:val="FF0000"/>
          <w:sz w:val="28"/>
        </w:rPr>
      </w:pPr>
    </w:p>
    <w:p w14:paraId="A0000000">
      <w:pPr>
        <w:widowControl w:val="0"/>
        <w:ind w:firstLine="709" w:left="0" w:right="0"/>
        <w:jc w:val="both"/>
        <w:rPr>
          <w:color w:val="FF0000"/>
          <w:sz w:val="28"/>
        </w:rPr>
      </w:pPr>
    </w:p>
    <w:p w14:paraId="A1000000">
      <w:pPr>
        <w:widowControl w:val="0"/>
        <w:ind w:firstLine="709" w:left="0" w:right="0"/>
        <w:jc w:val="center"/>
        <w:rPr>
          <w:color w:val="00B0F0"/>
          <w:sz w:val="28"/>
        </w:rPr>
      </w:pPr>
      <w:r>
        <w:rPr>
          <w:color w:val="FF0000"/>
          <w:sz w:val="28"/>
        </w:rPr>
        <w:t>___________________</w:t>
      </w:r>
    </w:p>
    <w:p w14:paraId="A2000000">
      <w:pPr>
        <w:pageBreakBefore w:val="1"/>
        <w:widowControl w:val="0"/>
        <w:spacing w:line="240" w:lineRule="exact"/>
        <w:ind w:firstLine="0" w:left="4956" w:right="0"/>
        <w:jc w:val="center"/>
        <w:rPr>
          <w:color w:val="00B0F0"/>
          <w:sz w:val="28"/>
        </w:rPr>
      </w:pPr>
      <w:r>
        <w:rPr>
          <w:color w:val="00B0F0"/>
          <w:sz w:val="28"/>
        </w:rPr>
        <w:t>Приложение 1</w:t>
      </w:r>
    </w:p>
    <w:p w14:paraId="A3000000">
      <w:pPr>
        <w:widowControl w:val="0"/>
        <w:spacing w:line="240" w:lineRule="exact"/>
        <w:ind w:firstLine="0" w:left="4956" w:right="0"/>
        <w:jc w:val="center"/>
        <w:rPr>
          <w:color w:val="00B0F0"/>
          <w:sz w:val="28"/>
        </w:rPr>
      </w:pPr>
    </w:p>
    <w:p w14:paraId="A4000000">
      <w:pPr>
        <w:widowControl w:val="0"/>
        <w:spacing w:line="240" w:lineRule="exact"/>
        <w:ind w:firstLine="0" w:left="4956" w:right="0"/>
        <w:jc w:val="center"/>
        <w:rPr>
          <w:color w:val="FF0000"/>
          <w:sz w:val="28"/>
        </w:rPr>
      </w:pPr>
      <w:r>
        <w:rPr>
          <w:color w:val="00B0F0"/>
          <w:sz w:val="28"/>
        </w:rPr>
        <w:t>к муниципальной программе «Обеспечение безопасности жизнедеятельности населения»</w:t>
      </w:r>
    </w:p>
    <w:p w14:paraId="A500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FF0000"/>
          <w:sz w:val="28"/>
        </w:rPr>
      </w:pPr>
    </w:p>
    <w:p w14:paraId="A600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FF0000"/>
          <w:sz w:val="28"/>
        </w:rPr>
      </w:pPr>
    </w:p>
    <w:p w14:paraId="A700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00B0F0"/>
          <w:sz w:val="28"/>
        </w:rPr>
      </w:pPr>
      <w:r>
        <w:rPr>
          <w:color w:val="00B0F0"/>
          <w:sz w:val="28"/>
        </w:rPr>
        <w:t>ПОДПРОГРАММА</w:t>
      </w:r>
    </w:p>
    <w:p w14:paraId="A800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00B0F0"/>
          <w:sz w:val="28"/>
        </w:rPr>
      </w:pPr>
    </w:p>
    <w:p w14:paraId="A900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00B0F0"/>
          <w:sz w:val="28"/>
        </w:rPr>
      </w:pPr>
      <w:r>
        <w:rPr>
          <w:color w:val="00B0F0"/>
          <w:sz w:val="28"/>
        </w:rPr>
        <w:t>«</w:t>
      </w:r>
      <w:r>
        <w:rPr>
          <w:color w:val="00B0F0"/>
          <w:sz w:val="28"/>
        </w:rPr>
        <w:t xml:space="preserve">Снижение рисков и повышение уровня защищенности населения и </w:t>
      </w:r>
    </w:p>
    <w:p w14:paraId="AA00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00B0F0"/>
          <w:sz w:val="28"/>
        </w:rPr>
      </w:pPr>
      <w:r>
        <w:rPr>
          <w:color w:val="00B0F0"/>
          <w:sz w:val="28"/>
        </w:rPr>
        <w:t xml:space="preserve">территорий округа от угроз чрезвычайных ситуаций природного и </w:t>
      </w:r>
    </w:p>
    <w:p w14:paraId="AB00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00B0F0"/>
          <w:sz w:val="28"/>
        </w:rPr>
      </w:pPr>
      <w:r>
        <w:rPr>
          <w:color w:val="00B0F0"/>
          <w:sz w:val="28"/>
        </w:rPr>
        <w:t>техногенного характера</w:t>
      </w:r>
      <w:r>
        <w:rPr>
          <w:color w:val="00B0F0"/>
          <w:sz w:val="28"/>
        </w:rPr>
        <w:t xml:space="preserve">» муниципальной программы </w:t>
      </w:r>
      <w:r>
        <w:rPr>
          <w:color w:val="00B0F0"/>
          <w:sz w:val="28"/>
        </w:rPr>
        <w:t>Андроповского муниципального округа Ставропольского края</w:t>
      </w:r>
    </w:p>
    <w:p w14:paraId="AC00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00B0F0"/>
          <w:sz w:val="28"/>
        </w:rPr>
      </w:pPr>
      <w:r>
        <w:rPr>
          <w:color w:val="00B0F0"/>
          <w:sz w:val="28"/>
        </w:rPr>
        <w:t>«</w:t>
      </w:r>
      <w:r>
        <w:rPr>
          <w:color w:val="00B0F0"/>
          <w:sz w:val="28"/>
        </w:rPr>
        <w:t>Обеспечение безопасности жизнедеятельности населения</w:t>
      </w:r>
      <w:r>
        <w:rPr>
          <w:color w:val="00B0F0"/>
          <w:sz w:val="28"/>
        </w:rPr>
        <w:t>»</w:t>
      </w:r>
    </w:p>
    <w:p w14:paraId="AD00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00B0F0"/>
          <w:sz w:val="28"/>
        </w:rPr>
      </w:pPr>
    </w:p>
    <w:p w14:paraId="AE00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00B0F0"/>
          <w:sz w:val="28"/>
        </w:rPr>
      </w:pPr>
      <w:r>
        <w:rPr>
          <w:color w:val="00B0F0"/>
          <w:sz w:val="28"/>
        </w:rPr>
        <w:t>ПАСПОРТ</w:t>
      </w:r>
    </w:p>
    <w:p w14:paraId="AF00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00B0F0"/>
          <w:sz w:val="28"/>
        </w:rPr>
      </w:pPr>
    </w:p>
    <w:p w14:paraId="B000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00B0F0"/>
          <w:sz w:val="28"/>
        </w:rPr>
      </w:pPr>
      <w:r>
        <w:rPr>
          <w:color w:val="00B0F0"/>
          <w:sz w:val="28"/>
        </w:rPr>
        <w:t>подпрограммы «</w:t>
      </w:r>
      <w:r>
        <w:rPr>
          <w:color w:val="00B0F0"/>
          <w:sz w:val="28"/>
        </w:rPr>
        <w:t xml:space="preserve">Снижение рисков и повышение уровня защищенности </w:t>
      </w:r>
    </w:p>
    <w:p w14:paraId="B100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00B0F0"/>
          <w:sz w:val="28"/>
        </w:rPr>
      </w:pPr>
      <w:r>
        <w:rPr>
          <w:color w:val="00B0F0"/>
          <w:sz w:val="28"/>
        </w:rPr>
        <w:t xml:space="preserve">населения и территорий округа от угроз чрезвычайных ситуаций природного и техногенного характера» </w:t>
      </w:r>
      <w:r>
        <w:rPr>
          <w:color w:val="00B0F0"/>
          <w:sz w:val="28"/>
        </w:rPr>
        <w:t xml:space="preserve">муниципальной программы </w:t>
      </w:r>
      <w:r>
        <w:rPr>
          <w:color w:val="00B0F0"/>
          <w:sz w:val="28"/>
        </w:rPr>
        <w:t>Андроповского муниципального округа Ставропольского края</w:t>
      </w:r>
    </w:p>
    <w:p w14:paraId="B200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00B0F0"/>
          <w:sz w:val="28"/>
        </w:rPr>
      </w:pPr>
      <w:r>
        <w:rPr>
          <w:color w:val="00B0F0"/>
          <w:sz w:val="28"/>
        </w:rPr>
        <w:t>«</w:t>
      </w:r>
      <w:r>
        <w:rPr>
          <w:color w:val="00B0F0"/>
          <w:sz w:val="28"/>
        </w:rPr>
        <w:t>Обеспечение безопасности жизнедеятельности населения</w:t>
      </w:r>
      <w:r>
        <w:rPr>
          <w:color w:val="00B0F0"/>
          <w:sz w:val="28"/>
        </w:rPr>
        <w:t>»</w:t>
      </w:r>
    </w:p>
    <w:p w14:paraId="B300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00B0F0"/>
          <w:sz w:val="28"/>
        </w:rPr>
      </w:pPr>
    </w:p>
    <w:tbl>
      <w:tblPr>
        <w:tblStyle w:val="Style_4"/>
        <w:tblW w:type="auto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3085"/>
        <w:gridCol w:w="6379"/>
      </w:tblGrid>
      <w:tr>
        <w:tc>
          <w:tcPr>
            <w:tcW w:type="dxa" w:w="308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 xml:space="preserve">Наименование </w:t>
            </w:r>
          </w:p>
          <w:p w14:paraId="B5000000">
            <w:pPr>
              <w:widowControl w:val="0"/>
              <w:tabs>
                <w:tab w:leader="none" w:pos="1110" w:val="left"/>
              </w:tabs>
              <w:ind/>
              <w:jc w:val="both"/>
            </w:pPr>
            <w:r>
              <w:rPr>
                <w:color w:val="00B0F0"/>
                <w:sz w:val="28"/>
              </w:rPr>
              <w:t>Подпрограммы</w:t>
            </w:r>
          </w:p>
        </w:tc>
        <w:tc>
          <w:tcPr>
            <w:tcW w:type="dxa" w:w="637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 xml:space="preserve">подпрограмма </w:t>
            </w:r>
            <w:r>
              <w:rPr>
                <w:color w:val="00B0F0"/>
                <w:sz w:val="28"/>
              </w:rPr>
              <w:t>«</w:t>
            </w:r>
            <w:r>
              <w:rPr>
                <w:color w:val="00B0F0"/>
                <w:sz w:val="28"/>
              </w:rPr>
              <w:t>Снижение рисков и повышение уровня защищенности населения и территорий округа от угроз чрезвычайных ситуаций природного и техногенного характера</w:t>
            </w:r>
            <w:r>
              <w:rPr>
                <w:color w:val="00B0F0"/>
                <w:sz w:val="28"/>
              </w:rPr>
              <w:t>» муниципальной программы «</w:t>
            </w:r>
            <w:r>
              <w:rPr>
                <w:color w:val="00B0F0"/>
                <w:sz w:val="28"/>
              </w:rPr>
              <w:t>Обеспечение безопасности жизнедеятельности населения</w:t>
            </w:r>
            <w:r>
              <w:rPr>
                <w:color w:val="00B0F0"/>
                <w:sz w:val="28"/>
              </w:rPr>
              <w:t>»</w:t>
            </w:r>
            <w:r>
              <w:rPr>
                <w:color w:val="00B0F0"/>
                <w:sz w:val="28"/>
              </w:rPr>
              <w:t xml:space="preserve"> (далее – подпрограмма)</w:t>
            </w:r>
          </w:p>
          <w:p w14:paraId="B7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B0F0"/>
                <w:sz w:val="28"/>
              </w:rPr>
            </w:pPr>
          </w:p>
        </w:tc>
      </w:tr>
      <w:tr>
        <w:tc>
          <w:tcPr>
            <w:tcW w:type="dxa" w:w="308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 xml:space="preserve">Ответственный </w:t>
            </w:r>
          </w:p>
          <w:p w14:paraId="B9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 xml:space="preserve">исполнитель </w:t>
            </w:r>
          </w:p>
          <w:p w14:paraId="BA000000">
            <w:pPr>
              <w:widowControl w:val="0"/>
              <w:tabs>
                <w:tab w:leader="none" w:pos="1110" w:val="left"/>
              </w:tabs>
              <w:ind/>
              <w:jc w:val="both"/>
            </w:pPr>
            <w:r>
              <w:rPr>
                <w:color w:val="00B0F0"/>
                <w:sz w:val="28"/>
              </w:rPr>
              <w:t>Подпрограммы</w:t>
            </w:r>
          </w:p>
        </w:tc>
        <w:tc>
          <w:tcPr>
            <w:tcW w:type="dxa" w:w="637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Администрация Андроповского муниципального округа Ставропольского края  (отдел по гражданской обороне, защите от чрезвычайных ситуаций, мобилизационной работе и общественной безопасности администрации</w:t>
            </w:r>
            <w:r>
              <w:rPr>
                <w:color w:val="00B0F0"/>
              </w:rPr>
              <w:t xml:space="preserve"> </w:t>
            </w:r>
            <w:r>
              <w:rPr>
                <w:color w:val="00B0F0"/>
                <w:sz w:val="28"/>
              </w:rPr>
              <w:t>Андроповского муниципального округа Ставропольского края) (далее – администрация округа (Отдел ГО)</w:t>
            </w:r>
          </w:p>
          <w:p w14:paraId="BC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B0F0"/>
                <w:sz w:val="28"/>
              </w:rPr>
            </w:pPr>
          </w:p>
        </w:tc>
      </w:tr>
      <w:tr>
        <w:tc>
          <w:tcPr>
            <w:tcW w:type="dxa" w:w="308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Соисполнители</w:t>
            </w:r>
          </w:p>
          <w:p w14:paraId="BE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Подпрограммы</w:t>
            </w:r>
          </w:p>
          <w:p w14:paraId="BF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B0F0"/>
                <w:sz w:val="28"/>
              </w:rPr>
            </w:pPr>
          </w:p>
        </w:tc>
        <w:tc>
          <w:tcPr>
            <w:tcW w:type="dxa" w:w="637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Территориальные отделы администрации Андроповского муниципального округа Ставропольского края</w:t>
            </w:r>
          </w:p>
          <w:p w14:paraId="C1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B0F0"/>
                <w:sz w:val="28"/>
              </w:rPr>
            </w:pPr>
          </w:p>
        </w:tc>
      </w:tr>
      <w:tr>
        <w:tc>
          <w:tcPr>
            <w:tcW w:type="dxa" w:w="308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Участники</w:t>
            </w:r>
          </w:p>
          <w:p w14:paraId="C3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Подпрограммы</w:t>
            </w:r>
          </w:p>
          <w:p w14:paraId="C4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B0F0"/>
                <w:sz w:val="28"/>
              </w:rPr>
            </w:pPr>
          </w:p>
        </w:tc>
        <w:tc>
          <w:tcPr>
            <w:tcW w:type="dxa" w:w="637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00000">
            <w:pPr>
              <w:widowControl w:val="0"/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Муниципальное бюджетное учреждение «Единая дежурно-диспетчерская служба Андроповского муниципального округа» (далее – ЕДДС АМО)</w:t>
            </w:r>
          </w:p>
          <w:p w14:paraId="C6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B0F0"/>
                <w:sz w:val="28"/>
              </w:rPr>
            </w:pPr>
          </w:p>
        </w:tc>
      </w:tr>
      <w:tr>
        <w:tc>
          <w:tcPr>
            <w:tcW w:type="dxa" w:w="308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 xml:space="preserve">Задачи </w:t>
            </w:r>
          </w:p>
          <w:p w14:paraId="C8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Подпрограммы</w:t>
            </w:r>
          </w:p>
          <w:p w14:paraId="C9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B0F0"/>
                <w:sz w:val="28"/>
              </w:rPr>
            </w:pPr>
          </w:p>
        </w:tc>
        <w:tc>
          <w:tcPr>
            <w:tcW w:type="dxa" w:w="637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разработка и осуществление  комплекса превентивных мероприятий, направленных на максимально возможное предотвращение чрезвычайных ситуаций природного и техногенного характера;</w:t>
            </w:r>
          </w:p>
          <w:p w14:paraId="CB000000">
            <w:pPr>
              <w:widowControl w:val="0"/>
              <w:tabs>
                <w:tab w:leader="none" w:pos="1110" w:val="left"/>
              </w:tabs>
              <w:ind/>
              <w:jc w:val="both"/>
            </w:pPr>
            <w:r>
              <w:rPr>
                <w:color w:val="00B0F0"/>
                <w:sz w:val="28"/>
              </w:rPr>
              <w:t>разработка и осуществление  комплекса превентивных мероприятий, направленных на повышение готовности, расширение возможности (спектра применения) аварийно- спасательных сил и развитие единой дежурно - диспетчерской службы и Системы обеспечения вызова экстренных оперативных служб по единому номеру «112»</w:t>
            </w:r>
          </w:p>
        </w:tc>
      </w:tr>
      <w:tr>
        <w:tc>
          <w:tcPr>
            <w:tcW w:type="dxa" w:w="308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 xml:space="preserve">Показатели решения задач </w:t>
            </w:r>
          </w:p>
          <w:p w14:paraId="CD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Подпрограммы</w:t>
            </w:r>
          </w:p>
          <w:p w14:paraId="CE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B0F0"/>
                <w:sz w:val="28"/>
              </w:rPr>
            </w:pPr>
          </w:p>
        </w:tc>
        <w:tc>
          <w:tcPr>
            <w:tcW w:type="dxa" w:w="637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численность погибшего и травмированного населения;</w:t>
            </w:r>
          </w:p>
          <w:p w14:paraId="D0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время прибытия аварийно-спасательного подразделения к месту чрезвычайной ситуации;</w:t>
            </w:r>
          </w:p>
          <w:p w14:paraId="D1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доля персонала аварийно-спасательного подразделения категории «спасатель»;</w:t>
            </w:r>
          </w:p>
          <w:p w14:paraId="D2000000">
            <w:pPr>
              <w:widowControl w:val="0"/>
              <w:tabs>
                <w:tab w:leader="none" w:pos="1110" w:val="left"/>
              </w:tabs>
              <w:ind/>
              <w:jc w:val="both"/>
            </w:pPr>
            <w:r>
              <w:rPr>
                <w:color w:val="00B0F0"/>
                <w:sz w:val="28"/>
              </w:rPr>
              <w:t>среднее время дозвона до единой дежурно-диспетчерской службы».</w:t>
            </w:r>
          </w:p>
        </w:tc>
      </w:tr>
      <w:tr>
        <w:tc>
          <w:tcPr>
            <w:tcW w:type="dxa" w:w="308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 xml:space="preserve">Сроки реализации </w:t>
            </w:r>
          </w:p>
          <w:p w14:paraId="D4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Подпрограммы</w:t>
            </w:r>
          </w:p>
          <w:p w14:paraId="D5000000">
            <w:pPr>
              <w:widowControl w:val="0"/>
              <w:spacing w:line="240" w:lineRule="exact"/>
              <w:ind/>
              <w:rPr>
                <w:color w:val="00B0F0"/>
                <w:sz w:val="28"/>
              </w:rPr>
            </w:pPr>
          </w:p>
        </w:tc>
        <w:tc>
          <w:tcPr>
            <w:tcW w:type="dxa" w:w="637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 xml:space="preserve">2021-2026 годы </w:t>
            </w:r>
          </w:p>
          <w:p w14:paraId="D7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B0F0"/>
                <w:sz w:val="28"/>
              </w:rPr>
            </w:pPr>
          </w:p>
        </w:tc>
      </w:tr>
      <w:tr>
        <w:tc>
          <w:tcPr>
            <w:tcW w:type="dxa" w:w="308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Объемы и источники финансового обеспечения Подпрограммы</w:t>
            </w:r>
          </w:p>
          <w:p w14:paraId="D9000000">
            <w:pPr>
              <w:rPr>
                <w:color w:val="D99594"/>
                <w:sz w:val="28"/>
              </w:rPr>
            </w:pPr>
          </w:p>
        </w:tc>
        <w:tc>
          <w:tcPr>
            <w:tcW w:type="dxa" w:w="637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0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объем финансового обеспечения Подпрограммы составит 62 110,54 тыс. рублей, в том числе по источникам финансового обеспечения:</w:t>
            </w:r>
          </w:p>
          <w:p w14:paraId="DB00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 xml:space="preserve">бюджет округа – 4 130,74 тыс. рублей, в том числе по годам: </w:t>
            </w:r>
          </w:p>
          <w:p w14:paraId="DC00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2021 год – 930,78 тыс. рублей;</w:t>
            </w:r>
          </w:p>
          <w:p w14:paraId="DD00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2022 год – 675,64 тыс. рублей;</w:t>
            </w:r>
          </w:p>
          <w:p w14:paraId="DE00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2023 год – 650,64 тыс. рублей;</w:t>
            </w:r>
          </w:p>
          <w:p w14:paraId="DF00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2024 год – 392,40 тыс. рублей;</w:t>
            </w:r>
          </w:p>
          <w:p w14:paraId="E000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2025 год – 740,64 тыс. рублей;</w:t>
            </w:r>
          </w:p>
          <w:p w14:paraId="E100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2026 год – 740,64 тыс. рублей;</w:t>
            </w:r>
          </w:p>
          <w:p w14:paraId="E200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за счет межбюджетных трансфертов 0,00 тыс. рублей, в том числе по годам:</w:t>
            </w:r>
          </w:p>
          <w:p w14:paraId="E300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2021 год – 0,00 тыс. рублей;</w:t>
            </w:r>
          </w:p>
          <w:p w14:paraId="E400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2022 год – 0,00 тыс. рублей;</w:t>
            </w:r>
          </w:p>
          <w:p w14:paraId="E500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2023 год – 0,00 тыс. рублей;</w:t>
            </w:r>
          </w:p>
          <w:p w14:paraId="E600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2024 год – 0,00 тыс. рублей;</w:t>
            </w:r>
          </w:p>
          <w:p w14:paraId="E700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2025 год – 0,00 тыс. рублей;</w:t>
            </w:r>
          </w:p>
          <w:p w14:paraId="E800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2026 год – 0,00 тыс. рублей;</w:t>
            </w:r>
          </w:p>
          <w:p w14:paraId="E900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внебюджетные средства и иные источники 300,00 тыс. рублей, в том числе по годам:</w:t>
            </w:r>
          </w:p>
          <w:p w14:paraId="EA00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2021 год – 50,00 тыс. рублей;</w:t>
            </w:r>
          </w:p>
          <w:p w14:paraId="EB00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2022 год – 50,00 тыс. рублей;</w:t>
            </w:r>
          </w:p>
          <w:p w14:paraId="EC00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2023 год – 50,00 тыс. рублей;</w:t>
            </w:r>
          </w:p>
          <w:p w14:paraId="ED00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2024 год – 50,00 тыс. рублей;</w:t>
            </w:r>
          </w:p>
          <w:p w14:paraId="EE00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2025 год – 50,00 тыс. рублей;</w:t>
            </w:r>
          </w:p>
          <w:p w14:paraId="EF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2026 год – 50,00 тыс. рублей;</w:t>
            </w:r>
          </w:p>
          <w:p w14:paraId="F000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средства участников Подпрограммы 57 514,99 тыс. рублей, в том числе по годам:</w:t>
            </w:r>
          </w:p>
          <w:p w14:paraId="F1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2021 год – 7 412,18 тыс. рублей;</w:t>
            </w:r>
          </w:p>
          <w:p w14:paraId="F2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2022 год – 8 844,93 тыс. рублей;</w:t>
            </w:r>
          </w:p>
          <w:p w14:paraId="F3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2023 год – 9 806,22 тыс. рублей;</w:t>
            </w:r>
          </w:p>
          <w:p w14:paraId="F4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2024 год – 11 143,16 тыс. рублей;</w:t>
            </w:r>
          </w:p>
          <w:p w14:paraId="F5000000">
            <w:pPr>
              <w:widowControl w:val="0"/>
              <w:ind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2025 год – 10 154,25 тыс. рублей;</w:t>
            </w:r>
          </w:p>
          <w:p w14:paraId="F6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2026 год – 10 154,25 тыс. рублей.</w:t>
            </w:r>
          </w:p>
          <w:p w14:paraId="F7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D99594"/>
                <w:sz w:val="28"/>
              </w:rPr>
            </w:pPr>
          </w:p>
        </w:tc>
      </w:tr>
      <w:tr>
        <w:tc>
          <w:tcPr>
            <w:tcW w:type="dxa" w:w="308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 xml:space="preserve">Ожидаемые результаты          реализации </w:t>
            </w:r>
          </w:p>
          <w:p w14:paraId="F9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Подпрограммы</w:t>
            </w:r>
          </w:p>
          <w:p w14:paraId="FA000000">
            <w:pPr>
              <w:widowControl w:val="0"/>
              <w:spacing w:line="240" w:lineRule="exact"/>
              <w:ind/>
              <w:rPr>
                <w:color w:val="00B0F0"/>
                <w:sz w:val="28"/>
              </w:rPr>
            </w:pPr>
          </w:p>
        </w:tc>
        <w:tc>
          <w:tcPr>
            <w:tcW w:type="dxa" w:w="637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отсутствие погибшего и травмированного населения;</w:t>
            </w:r>
          </w:p>
          <w:p w14:paraId="FC000000">
            <w:pPr>
              <w:widowControl w:val="0"/>
              <w:numPr>
                <w:ilvl w:val="0"/>
                <w:numId w:val="0"/>
              </w:numPr>
              <w:ind/>
              <w:jc w:val="both"/>
              <w:outlineLvl w:val="2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сокращение времени прибытия аварийно-спасательного подразделения к месту чрезвычайной ситуации до 28 минут в 2026 году;</w:t>
            </w:r>
          </w:p>
          <w:p w14:paraId="FD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доля персонала аварийно-спасательного подразделения категории «спасатель» 100% в 2026 году;</w:t>
            </w:r>
          </w:p>
          <w:p w14:paraId="FE000000">
            <w:pPr>
              <w:widowControl w:val="0"/>
              <w:tabs>
                <w:tab w:leader="none" w:pos="1110" w:val="left"/>
              </w:tabs>
              <w:ind/>
              <w:jc w:val="both"/>
            </w:pPr>
            <w:r>
              <w:rPr>
                <w:color w:val="00B0F0"/>
                <w:sz w:val="28"/>
              </w:rPr>
              <w:t>среднее время дозвона до единой дежурно-диспетчерской службы 0,6 мин. в 2026 году.</w:t>
            </w:r>
          </w:p>
        </w:tc>
      </w:tr>
    </w:tbl>
    <w:p w14:paraId="FF000000">
      <w:pPr>
        <w:widowControl w:val="0"/>
        <w:tabs>
          <w:tab w:leader="none" w:pos="1110" w:val="left"/>
        </w:tabs>
        <w:ind w:firstLine="709" w:left="0" w:right="0"/>
        <w:jc w:val="center"/>
        <w:rPr>
          <w:color w:val="00B0F0"/>
          <w:sz w:val="28"/>
        </w:rPr>
      </w:pPr>
    </w:p>
    <w:p w14:paraId="00010000">
      <w:pPr>
        <w:widowControl w:val="0"/>
        <w:tabs>
          <w:tab w:leader="none" w:pos="1110" w:val="left"/>
        </w:tabs>
        <w:ind w:firstLine="709" w:left="0" w:right="0"/>
        <w:jc w:val="center"/>
        <w:rPr>
          <w:color w:val="00B0F0"/>
          <w:sz w:val="28"/>
        </w:rPr>
      </w:pPr>
      <w:r>
        <w:rPr>
          <w:color w:val="00B0F0"/>
          <w:sz w:val="28"/>
        </w:rPr>
        <w:t xml:space="preserve">Характеристика основных мероприятий Подпрограммы </w:t>
      </w:r>
    </w:p>
    <w:p w14:paraId="01010000">
      <w:pPr>
        <w:widowControl w:val="0"/>
        <w:tabs>
          <w:tab w:leader="none" w:pos="1110" w:val="left"/>
        </w:tabs>
        <w:ind w:firstLine="709" w:left="0" w:right="0"/>
        <w:jc w:val="center"/>
        <w:rPr>
          <w:color w:val="00B0F0"/>
          <w:sz w:val="28"/>
        </w:rPr>
      </w:pPr>
      <w:r>
        <w:rPr>
          <w:color w:val="00B0F0"/>
          <w:sz w:val="28"/>
        </w:rPr>
        <w:t>Основными мероприятиями Подпрограммы являются:</w:t>
      </w:r>
    </w:p>
    <w:p w14:paraId="02010000">
      <w:pPr>
        <w:widowControl w:val="0"/>
        <w:tabs>
          <w:tab w:leader="none" w:pos="1110" w:val="left"/>
        </w:tabs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 xml:space="preserve">1. </w:t>
      </w:r>
      <w:r>
        <w:rPr>
          <w:color w:val="00B0F0"/>
          <w:sz w:val="28"/>
        </w:rPr>
        <w:t>Защита населения и территории округа от чрезвычайных ситуаций различного характера</w:t>
      </w:r>
      <w:r>
        <w:rPr>
          <w:color w:val="00B0F0"/>
          <w:sz w:val="28"/>
        </w:rPr>
        <w:t>.</w:t>
      </w:r>
    </w:p>
    <w:p w14:paraId="03010000">
      <w:pPr>
        <w:widowControl w:val="0"/>
        <w:tabs>
          <w:tab w:leader="none" w:pos="1110" w:val="left"/>
        </w:tabs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 xml:space="preserve">В рамках данного основного мероприятия планируется реализация следующих мер: </w:t>
      </w:r>
    </w:p>
    <w:p w14:paraId="04010000">
      <w:pPr>
        <w:widowControl w:val="0"/>
        <w:tabs>
          <w:tab w:leader="none" w:pos="1110" w:val="left"/>
        </w:tabs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 xml:space="preserve">создание условий для эффективного взаимодействия органов управления </w:t>
      </w:r>
      <w:r>
        <w:rPr>
          <w:color w:val="00B0F0"/>
          <w:sz w:val="28"/>
        </w:rPr>
        <w:t xml:space="preserve">и сил единой государственной системы предупреждения и ликвидации чрезвычайных ситуаций на территории округа в целях </w:t>
      </w:r>
      <w:r>
        <w:rPr>
          <w:color w:val="00B0F0"/>
          <w:sz w:val="28"/>
        </w:rPr>
        <w:t>уменьшения риска возникновения чрезвычайных ситуаций;</w:t>
      </w:r>
    </w:p>
    <w:p w14:paraId="05010000">
      <w:pPr>
        <w:widowControl w:val="0"/>
        <w:tabs>
          <w:tab w:leader="none" w:pos="1110" w:val="left"/>
        </w:tabs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>координация действий органов управления и о</w:t>
      </w:r>
      <w:r>
        <w:rPr>
          <w:color w:val="00B0F0"/>
          <w:sz w:val="28"/>
        </w:rPr>
        <w:t xml:space="preserve">беспечение </w:t>
      </w:r>
      <w:r>
        <w:rPr>
          <w:color w:val="00B0F0"/>
          <w:sz w:val="28"/>
        </w:rPr>
        <w:t xml:space="preserve">на территории округа </w:t>
      </w:r>
      <w:r>
        <w:rPr>
          <w:color w:val="00B0F0"/>
          <w:sz w:val="28"/>
        </w:rPr>
        <w:t>оптимального использования сил и средств, привлекаемых для решения задач по ликвидации чрезвычайных ситуаций;</w:t>
      </w:r>
    </w:p>
    <w:p w14:paraId="06010000">
      <w:pPr>
        <w:widowControl w:val="0"/>
        <w:tabs>
          <w:tab w:leader="none" w:pos="1110" w:val="left"/>
        </w:tabs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>создание резерва финансовых ресурсов для предупреждения и ликвидации чрезвычайных ситуаций.</w:t>
      </w:r>
    </w:p>
    <w:p w14:paraId="07010000">
      <w:pPr>
        <w:widowControl w:val="0"/>
        <w:tabs>
          <w:tab w:leader="none" w:pos="1110" w:val="left"/>
        </w:tabs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>Непосредственным результатом реализации данного основного мероприятия Подпрограммы является: отсутствие погибшего и травмированного населения</w:t>
      </w:r>
      <w:r>
        <w:rPr>
          <w:color w:val="00B0F0"/>
          <w:sz w:val="28"/>
        </w:rPr>
        <w:t>.</w:t>
      </w:r>
    </w:p>
    <w:p w14:paraId="08010000">
      <w:pPr>
        <w:widowControl w:val="0"/>
        <w:tabs>
          <w:tab w:leader="none" w:pos="1110" w:val="left"/>
        </w:tabs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 xml:space="preserve">2. </w:t>
      </w:r>
      <w:r>
        <w:rPr>
          <w:color w:val="00B0F0"/>
          <w:sz w:val="28"/>
        </w:rPr>
        <w:t>Обеспечение деятельности аварийно-спасательных подразделений и</w:t>
      </w:r>
      <w:r>
        <w:rPr>
          <w:color w:val="00B0F0"/>
          <w:sz w:val="28"/>
        </w:rPr>
        <w:t xml:space="preserve"> </w:t>
      </w:r>
      <w:r>
        <w:rPr>
          <w:color w:val="00B0F0"/>
          <w:sz w:val="28"/>
        </w:rPr>
        <w:t>деятельности единой дежурно - диспетчерской службы.</w:t>
      </w:r>
    </w:p>
    <w:p w14:paraId="09010000">
      <w:pPr>
        <w:widowControl w:val="0"/>
        <w:tabs>
          <w:tab w:leader="none" w:pos="1110" w:val="left"/>
        </w:tabs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 xml:space="preserve">В рамках данного основного мероприятия планируется реализация следующих мер: </w:t>
      </w:r>
    </w:p>
    <w:p w14:paraId="0A010000">
      <w:pPr>
        <w:widowControl w:val="0"/>
        <w:tabs>
          <w:tab w:leader="none" w:pos="1110" w:val="left"/>
        </w:tabs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 xml:space="preserve">повышение готовности аварийно-спасательных сил к ликвидации чрезвычайных ситуаций и расширение возможности (спектра применения) аварийно- спасательных сил; </w:t>
      </w:r>
    </w:p>
    <w:p w14:paraId="0B010000">
      <w:pPr>
        <w:widowControl w:val="0"/>
        <w:tabs>
          <w:tab w:leader="none" w:pos="1110" w:val="left"/>
        </w:tabs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>повышение уровня технической оснащенности аварийно-спасательного подразделения;</w:t>
      </w:r>
    </w:p>
    <w:p w14:paraId="0C010000">
      <w:pPr>
        <w:widowControl w:val="0"/>
        <w:tabs>
          <w:tab w:leader="none" w:pos="1110" w:val="left"/>
        </w:tabs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>повышение квалификации и обучение личного состава аварийно- спасательного подразделения;</w:t>
      </w:r>
    </w:p>
    <w:p w14:paraId="0D010000">
      <w:pPr>
        <w:widowControl w:val="0"/>
        <w:tabs>
          <w:tab w:leader="none" w:pos="1110" w:val="left"/>
        </w:tabs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>организация постоянного информирования населения округа о правилах поведения и действиях в чрезвычайных ситуациях, о номерах телефонов, по которым необходимо обращаться в случае возникновения чрезвычайных ситуаций;</w:t>
      </w:r>
    </w:p>
    <w:p w14:paraId="0E010000">
      <w:pPr>
        <w:widowControl w:val="0"/>
        <w:tabs>
          <w:tab w:leader="none" w:pos="1110" w:val="left"/>
        </w:tabs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>поддержание высокого уровня готовности к применению средств связи.</w:t>
      </w:r>
    </w:p>
    <w:p w14:paraId="0F010000">
      <w:pPr>
        <w:widowControl w:val="0"/>
        <w:tabs>
          <w:tab w:leader="none" w:pos="1110" w:val="left"/>
        </w:tabs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 xml:space="preserve">Непосредственными результатами реализации данного основного мероприятия Подпрограммы являются: </w:t>
      </w:r>
      <w:r>
        <w:rPr>
          <w:color w:val="00B0F0"/>
          <w:sz w:val="28"/>
        </w:rPr>
        <w:t>сокращение времени прибытия аварийно-спасательного подразделения к месту чрезвычайной ситуации до 28 минут в 2026 году;</w:t>
      </w:r>
    </w:p>
    <w:p w14:paraId="10010000">
      <w:pPr>
        <w:widowControl w:val="0"/>
        <w:tabs>
          <w:tab w:leader="none" w:pos="1110" w:val="left"/>
        </w:tabs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>доля персонала аварийно-спасательного подразделения категории «спасатель» 100% в 2026 году;</w:t>
      </w:r>
    </w:p>
    <w:p w14:paraId="11010000">
      <w:pPr>
        <w:widowControl w:val="0"/>
        <w:tabs>
          <w:tab w:leader="none" w:pos="1110" w:val="left"/>
        </w:tabs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>среднее время дозвона до единой дежурно-диспетчерской службы 0,6 мин. в 2026 году.</w:t>
      </w:r>
    </w:p>
    <w:p w14:paraId="12010000">
      <w:pPr>
        <w:widowControl w:val="0"/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>Сведения об индикаторах достижения целей Подпрограммы Программы и показателях решения задач Подпрограмм Программы приведены в таблице 1 приложения 3.</w:t>
      </w:r>
    </w:p>
    <w:p w14:paraId="13010000">
      <w:pPr>
        <w:widowControl w:val="0"/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>Перечень основных мероприятий Подпрограммы Программы приведен в таблице 2 приложения 3.</w:t>
      </w:r>
    </w:p>
    <w:p w14:paraId="14010000">
      <w:pPr>
        <w:widowControl w:val="0"/>
        <w:ind w:firstLine="709" w:left="0" w:right="0"/>
        <w:jc w:val="both"/>
        <w:rPr>
          <w:color w:val="00B0F0"/>
          <w:sz w:val="28"/>
        </w:rPr>
      </w:pPr>
      <w:r>
        <w:rPr>
          <w:color w:val="00B0F0"/>
          <w:sz w:val="28"/>
        </w:rPr>
        <w:t>Объемы и источники финансового обеспечения Подпрограммы Программы приведены в таблице 3 приложения 3.</w:t>
      </w:r>
    </w:p>
    <w:p w14:paraId="15010000">
      <w:pPr>
        <w:widowControl w:val="0"/>
        <w:ind w:firstLine="709" w:left="0" w:right="0"/>
        <w:rPr>
          <w:color w:val="00B0F0"/>
          <w:sz w:val="28"/>
        </w:rPr>
      </w:pPr>
      <w:r>
        <w:rPr>
          <w:color w:val="00B0F0"/>
          <w:sz w:val="28"/>
        </w:rPr>
        <w:t>Сведения о весовых коэффициентах, присвоенных целям Подпрограммы Программы задачам подпрограмм Программы в таблице 4</w:t>
      </w:r>
      <w:r>
        <w:rPr>
          <w:color w:val="00B0F0"/>
          <w:sz w:val="28"/>
          <w:vertAlign w:val="superscript"/>
        </w:rPr>
        <w:t xml:space="preserve"> </w:t>
      </w:r>
      <w:r>
        <w:rPr>
          <w:color w:val="00B0F0"/>
          <w:sz w:val="28"/>
        </w:rPr>
        <w:t>приложения 3.</w:t>
      </w:r>
    </w:p>
    <w:p w14:paraId="16010000">
      <w:pPr>
        <w:widowControl w:val="0"/>
        <w:ind w:firstLine="709" w:left="0" w:right="0"/>
        <w:rPr>
          <w:color w:val="00B0F0"/>
          <w:sz w:val="28"/>
        </w:rPr>
      </w:pPr>
    </w:p>
    <w:p w14:paraId="17010000">
      <w:pPr>
        <w:pageBreakBefore w:val="1"/>
        <w:widowControl w:val="0"/>
        <w:spacing w:line="240" w:lineRule="exact"/>
        <w:ind w:firstLine="0" w:left="4248" w:right="0"/>
        <w:jc w:val="center"/>
        <w:rPr>
          <w:color w:val="FF0000"/>
          <w:sz w:val="28"/>
        </w:rPr>
      </w:pPr>
      <w:r>
        <w:rPr>
          <w:color w:val="FF0000"/>
          <w:sz w:val="28"/>
        </w:rPr>
        <w:t>Приложение 2</w:t>
      </w:r>
    </w:p>
    <w:p w14:paraId="18010000">
      <w:pPr>
        <w:widowControl w:val="0"/>
        <w:spacing w:line="240" w:lineRule="exact"/>
        <w:ind w:firstLine="0" w:left="4248" w:right="0"/>
        <w:jc w:val="center"/>
        <w:rPr>
          <w:color w:val="FF0000"/>
          <w:sz w:val="28"/>
        </w:rPr>
      </w:pPr>
    </w:p>
    <w:p w14:paraId="19010000">
      <w:pPr>
        <w:widowControl w:val="0"/>
        <w:spacing w:line="240" w:lineRule="exact"/>
        <w:ind w:firstLine="0" w:left="4248" w:right="0"/>
        <w:jc w:val="center"/>
        <w:rPr>
          <w:color w:val="FF0000"/>
          <w:sz w:val="28"/>
        </w:rPr>
      </w:pPr>
      <w:r>
        <w:rPr>
          <w:color w:val="FF0000"/>
          <w:sz w:val="28"/>
        </w:rPr>
        <w:t>к муниципальной программе «Обеспечение безопасности жизнедеятельности населения»</w:t>
      </w:r>
    </w:p>
    <w:p w14:paraId="1A01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FF0000"/>
          <w:sz w:val="28"/>
        </w:rPr>
      </w:pPr>
    </w:p>
    <w:p w14:paraId="1B01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FF0000"/>
          <w:sz w:val="28"/>
        </w:rPr>
      </w:pPr>
    </w:p>
    <w:p w14:paraId="1C01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FF0000"/>
          <w:sz w:val="28"/>
        </w:rPr>
      </w:pPr>
      <w:r>
        <w:rPr>
          <w:color w:val="FF0000"/>
          <w:sz w:val="28"/>
        </w:rPr>
        <w:t>ПОДПРОГРАММА</w:t>
      </w:r>
    </w:p>
    <w:p w14:paraId="1D01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FF0000"/>
          <w:sz w:val="28"/>
        </w:rPr>
      </w:pPr>
    </w:p>
    <w:p w14:paraId="1E010000">
      <w:pPr>
        <w:widowControl w:val="0"/>
        <w:spacing w:line="240" w:lineRule="exact"/>
        <w:ind/>
        <w:jc w:val="center"/>
        <w:rPr>
          <w:color w:val="FF0000"/>
          <w:sz w:val="28"/>
        </w:rPr>
      </w:pPr>
      <w:r>
        <w:rPr>
          <w:color w:val="FF0000"/>
          <w:sz w:val="28"/>
        </w:rPr>
        <w:t xml:space="preserve">«Система комплексного обеспечения безопасности жизнедеятельности, профилактика терроризма и экстремизма» муниципальной программы </w:t>
      </w:r>
    </w:p>
    <w:p w14:paraId="1F010000">
      <w:pPr>
        <w:widowControl w:val="0"/>
        <w:spacing w:line="240" w:lineRule="exact"/>
        <w:ind/>
        <w:jc w:val="center"/>
        <w:rPr>
          <w:color w:val="FF0000"/>
          <w:sz w:val="28"/>
        </w:rPr>
      </w:pPr>
      <w:r>
        <w:rPr>
          <w:color w:val="FF0000"/>
          <w:sz w:val="28"/>
        </w:rPr>
        <w:t xml:space="preserve">Андроповского муниципального округа Ставропольского края </w:t>
      </w:r>
    </w:p>
    <w:p w14:paraId="2001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FF0000"/>
          <w:sz w:val="28"/>
        </w:rPr>
      </w:pPr>
      <w:r>
        <w:rPr>
          <w:color w:val="FF0000"/>
          <w:sz w:val="28"/>
        </w:rPr>
        <w:t xml:space="preserve"> </w:t>
      </w:r>
      <w:r>
        <w:rPr>
          <w:color w:val="FF0000"/>
          <w:sz w:val="28"/>
        </w:rPr>
        <w:t>«</w:t>
      </w:r>
      <w:r>
        <w:rPr>
          <w:color w:val="FF0000"/>
          <w:sz w:val="28"/>
        </w:rPr>
        <w:t>Обеспечение безопасности жизнедеятельности населения</w:t>
      </w:r>
      <w:r>
        <w:rPr>
          <w:color w:val="FF0000"/>
          <w:sz w:val="28"/>
        </w:rPr>
        <w:t>»</w:t>
      </w:r>
    </w:p>
    <w:p w14:paraId="2101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FF0000"/>
          <w:sz w:val="28"/>
        </w:rPr>
      </w:pPr>
    </w:p>
    <w:p w14:paraId="2201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FF0000"/>
          <w:sz w:val="28"/>
        </w:rPr>
      </w:pPr>
      <w:r>
        <w:rPr>
          <w:color w:val="FF0000"/>
          <w:sz w:val="28"/>
        </w:rPr>
        <w:t>ПАСПОРТ</w:t>
      </w:r>
    </w:p>
    <w:p w14:paraId="2301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FF0000"/>
          <w:sz w:val="28"/>
        </w:rPr>
      </w:pPr>
    </w:p>
    <w:p w14:paraId="24010000">
      <w:pPr>
        <w:widowControl w:val="0"/>
        <w:spacing w:line="240" w:lineRule="exact"/>
        <w:ind/>
        <w:jc w:val="center"/>
        <w:rPr>
          <w:color w:val="FF0000"/>
          <w:sz w:val="28"/>
        </w:rPr>
      </w:pPr>
      <w:r>
        <w:rPr>
          <w:color w:val="FF0000"/>
          <w:sz w:val="28"/>
        </w:rPr>
        <w:t xml:space="preserve">подпрограммы «Система комплексного обеспечения безопасности жизнедеятельности и профилактика терроризма и экстремизма» муниципальной программы </w:t>
      </w:r>
      <w:r>
        <w:rPr>
          <w:color w:val="FF0000"/>
          <w:sz w:val="28"/>
        </w:rPr>
        <w:t xml:space="preserve">Андроповского муниципального округа Ставропольского края </w:t>
      </w:r>
    </w:p>
    <w:p w14:paraId="2501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FF0000"/>
          <w:sz w:val="28"/>
        </w:rPr>
      </w:pPr>
      <w:r>
        <w:rPr>
          <w:color w:val="FF0000"/>
          <w:sz w:val="28"/>
        </w:rPr>
        <w:t xml:space="preserve"> </w:t>
      </w:r>
      <w:r>
        <w:rPr>
          <w:color w:val="FF0000"/>
          <w:sz w:val="28"/>
        </w:rPr>
        <w:t>«</w:t>
      </w:r>
      <w:r>
        <w:rPr>
          <w:color w:val="FF0000"/>
          <w:sz w:val="28"/>
        </w:rPr>
        <w:t>Обеспечение безопасности жизнедеятельности населения</w:t>
      </w:r>
      <w:r>
        <w:rPr>
          <w:color w:val="FF0000"/>
          <w:sz w:val="28"/>
        </w:rPr>
        <w:t>»</w:t>
      </w:r>
    </w:p>
    <w:p w14:paraId="26010000">
      <w:pPr>
        <w:tabs>
          <w:tab w:leader="none" w:pos="1110" w:val="left"/>
        </w:tabs>
        <w:ind/>
        <w:jc w:val="both"/>
        <w:rPr>
          <w:color w:val="FF0000"/>
          <w:sz w:val="28"/>
        </w:rPr>
      </w:pPr>
    </w:p>
    <w:tbl>
      <w:tblPr>
        <w:tblStyle w:val="Style_4"/>
        <w:tblW w:type="auto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3708"/>
        <w:gridCol w:w="5580"/>
      </w:tblGrid>
      <w:tr>
        <w:tc>
          <w:tcPr>
            <w:tcW w:type="dxa" w:w="370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Наименование</w:t>
            </w:r>
          </w:p>
          <w:p w14:paraId="28010000">
            <w:pPr>
              <w:widowControl w:val="0"/>
              <w:tabs>
                <w:tab w:leader="none" w:pos="1110" w:val="left"/>
              </w:tabs>
              <w:ind/>
              <w:jc w:val="both"/>
            </w:pPr>
            <w:r>
              <w:rPr>
                <w:color w:val="FF0000"/>
                <w:sz w:val="28"/>
              </w:rPr>
              <w:t>Подпрограммы</w:t>
            </w:r>
          </w:p>
        </w:tc>
        <w:tc>
          <w:tcPr>
            <w:tcW w:type="dxa" w:w="5580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подпрограмма «</w:t>
            </w:r>
            <w:r>
              <w:rPr>
                <w:color w:val="FF0000"/>
                <w:sz w:val="28"/>
              </w:rPr>
              <w:t>Система комплексного обеспечения безопасности жизнедеятельности, профилактика терроризма и экстремизма» муниципальной программы «</w:t>
            </w:r>
            <w:r>
              <w:rPr>
                <w:color w:val="FF0000"/>
                <w:sz w:val="28"/>
              </w:rPr>
              <w:t>Обеспечение безопасности жизнедеятельности населения» (далее – подпрограмма)</w:t>
            </w:r>
          </w:p>
          <w:p w14:paraId="2A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  <w:sz w:val="28"/>
              </w:rPr>
            </w:pPr>
          </w:p>
        </w:tc>
      </w:tr>
      <w:tr>
        <w:tc>
          <w:tcPr>
            <w:tcW w:type="dxa" w:w="370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Ответственный</w:t>
            </w:r>
          </w:p>
          <w:p w14:paraId="2C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исполнитель</w:t>
            </w:r>
          </w:p>
          <w:p w14:paraId="2D010000">
            <w:pPr>
              <w:widowControl w:val="0"/>
              <w:tabs>
                <w:tab w:leader="none" w:pos="1110" w:val="left"/>
              </w:tabs>
              <w:ind/>
              <w:jc w:val="both"/>
            </w:pPr>
            <w:r>
              <w:rPr>
                <w:color w:val="FF0000"/>
                <w:sz w:val="28"/>
              </w:rPr>
              <w:t>Подпрограммы</w:t>
            </w:r>
          </w:p>
        </w:tc>
        <w:tc>
          <w:tcPr>
            <w:tcW w:type="dxa" w:w="5580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Администрация Андроповского муниципального округа Ставропольского края (отдел по гражданской обороне, защите от чрезвычайных ситуаций, мобилизационной работе и общественной безопасности администрации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  <w:sz w:val="28"/>
              </w:rPr>
              <w:t>Андроповского муниципального округа Ставропольского края) (далее – администрация округа (Отдел ГО))</w:t>
            </w:r>
          </w:p>
          <w:p w14:paraId="2F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  <w:sz w:val="28"/>
              </w:rPr>
            </w:pPr>
          </w:p>
        </w:tc>
      </w:tr>
      <w:tr>
        <w:tc>
          <w:tcPr>
            <w:tcW w:type="dxa" w:w="370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Соисполнители</w:t>
            </w:r>
          </w:p>
          <w:p w14:paraId="31010000">
            <w:pPr>
              <w:widowControl w:val="0"/>
              <w:tabs>
                <w:tab w:leader="none" w:pos="1110" w:val="left"/>
              </w:tabs>
              <w:ind/>
              <w:jc w:val="both"/>
            </w:pPr>
            <w:r>
              <w:rPr>
                <w:color w:val="FF0000"/>
                <w:sz w:val="28"/>
              </w:rPr>
              <w:t>Подпрограммы</w:t>
            </w:r>
          </w:p>
        </w:tc>
        <w:tc>
          <w:tcPr>
            <w:tcW w:type="dxa" w:w="5580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 xml:space="preserve">Отдел образования </w:t>
            </w:r>
          </w:p>
          <w:p w14:paraId="33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 xml:space="preserve">Отдел культуры </w:t>
            </w:r>
          </w:p>
          <w:p w14:paraId="34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  <w:sz w:val="28"/>
              </w:rPr>
            </w:pPr>
          </w:p>
        </w:tc>
      </w:tr>
      <w:tr>
        <w:tc>
          <w:tcPr>
            <w:tcW w:type="dxa" w:w="370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Участники</w:t>
            </w:r>
          </w:p>
          <w:p w14:paraId="36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Подпрограммы</w:t>
            </w:r>
          </w:p>
          <w:p w14:paraId="37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  <w:sz w:val="28"/>
              </w:rPr>
            </w:pPr>
          </w:p>
        </w:tc>
        <w:tc>
          <w:tcPr>
            <w:tcW w:type="dxa" w:w="5580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widowControl w:val="0"/>
              <w:tabs>
                <w:tab w:leader="none" w:pos="1110" w:val="left"/>
              </w:tabs>
              <w:ind/>
              <w:jc w:val="both"/>
            </w:pPr>
            <w:r>
              <w:rPr>
                <w:color w:val="FF0000"/>
                <w:sz w:val="28"/>
              </w:rPr>
              <w:t>отсутствуют</w:t>
            </w:r>
          </w:p>
        </w:tc>
      </w:tr>
      <w:tr>
        <w:tc>
          <w:tcPr>
            <w:tcW w:type="dxa" w:w="370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Задачи</w:t>
            </w:r>
          </w:p>
          <w:p w14:paraId="3A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Подпрограммы</w:t>
            </w:r>
          </w:p>
          <w:p w14:paraId="3B010000">
            <w:pPr>
              <w:widowControl w:val="0"/>
              <w:tabs>
                <w:tab w:leader="none" w:pos="1125" w:val="left"/>
              </w:tabs>
              <w:ind/>
              <w:jc w:val="both"/>
              <w:rPr>
                <w:color w:val="FF0000"/>
                <w:sz w:val="28"/>
              </w:rPr>
            </w:pPr>
          </w:p>
        </w:tc>
        <w:tc>
          <w:tcPr>
            <w:tcW w:type="dxa" w:w="5580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 xml:space="preserve">развитие и обеспечение функционирования системы комплексного обеспечения безопасности жизнедеятельности округа на основе внедрения информационно-коммуникационных технологий </w:t>
            </w:r>
          </w:p>
          <w:p w14:paraId="3D01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</w:p>
        </w:tc>
      </w:tr>
      <w:tr>
        <w:tc>
          <w:tcPr>
            <w:tcW w:type="dxa" w:w="370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Показатели решения</w:t>
            </w:r>
          </w:p>
          <w:p w14:paraId="3F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Задач</w:t>
            </w:r>
          </w:p>
          <w:p w14:paraId="40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Подпрограммы</w:t>
            </w:r>
          </w:p>
          <w:p w14:paraId="41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  <w:sz w:val="28"/>
              </w:rPr>
            </w:pPr>
          </w:p>
        </w:tc>
        <w:tc>
          <w:tcPr>
            <w:tcW w:type="dxa" w:w="5580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обеспечение функционирования камер видеонаблюдения в муниципальных учреждениях;</w:t>
            </w:r>
          </w:p>
          <w:p w14:paraId="43010000">
            <w:pPr>
              <w:widowControl w:val="0"/>
              <w:tabs>
                <w:tab w:leader="none" w:pos="1110" w:val="left"/>
              </w:tabs>
              <w:ind/>
              <w:jc w:val="both"/>
            </w:pPr>
            <w:r>
              <w:rPr>
                <w:color w:val="FF0000"/>
                <w:sz w:val="28"/>
              </w:rPr>
              <w:t xml:space="preserve">количество мероприятий, направленных на противодействие идеологии терроризма и экстремизма, проводимых ежегодно с учащейся молодежью Андроповского муниципального округа </w:t>
            </w:r>
          </w:p>
        </w:tc>
      </w:tr>
      <w:tr>
        <w:tc>
          <w:tcPr>
            <w:tcW w:type="dxa" w:w="370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Сроки реализации</w:t>
            </w:r>
          </w:p>
          <w:p w14:paraId="45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Подпрограммы</w:t>
            </w:r>
          </w:p>
          <w:p w14:paraId="46010000">
            <w:pPr>
              <w:widowControl w:val="0"/>
              <w:spacing w:line="240" w:lineRule="exact"/>
              <w:ind/>
              <w:rPr>
                <w:color w:val="FF0000"/>
                <w:sz w:val="28"/>
              </w:rPr>
            </w:pPr>
          </w:p>
        </w:tc>
        <w:tc>
          <w:tcPr>
            <w:tcW w:type="dxa" w:w="5580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2021-2026 годы</w:t>
            </w:r>
          </w:p>
          <w:p w14:paraId="48010000">
            <w:pPr>
              <w:rPr>
                <w:color w:val="FF0000"/>
                <w:sz w:val="28"/>
              </w:rPr>
            </w:pPr>
          </w:p>
        </w:tc>
      </w:tr>
      <w:tr>
        <w:tc>
          <w:tcPr>
            <w:tcW w:type="dxa" w:w="370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10000">
            <w:pPr>
              <w:widowControl w:val="0"/>
              <w:ind/>
              <w:jc w:val="both"/>
              <w:rPr>
                <w:color w:val="FFC000"/>
                <w:sz w:val="28"/>
              </w:rPr>
            </w:pPr>
            <w:r>
              <w:rPr>
                <w:color w:val="FFC000"/>
                <w:sz w:val="28"/>
              </w:rPr>
              <w:t xml:space="preserve">Объемы и источники финансового обеспечения подпрограммы </w:t>
            </w:r>
          </w:p>
          <w:p w14:paraId="4A010000">
            <w:pPr>
              <w:widowControl w:val="0"/>
              <w:ind w:firstLine="709" w:left="0" w:right="0"/>
              <w:jc w:val="both"/>
              <w:rPr>
                <w:color w:val="FFC000"/>
                <w:sz w:val="28"/>
              </w:rPr>
            </w:pPr>
          </w:p>
        </w:tc>
        <w:tc>
          <w:tcPr>
            <w:tcW w:type="dxa" w:w="5580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widowControl w:val="0"/>
              <w:ind/>
              <w:jc w:val="both"/>
              <w:rPr>
                <w:color w:val="FFC000"/>
                <w:sz w:val="28"/>
              </w:rPr>
            </w:pPr>
            <w:r>
              <w:rPr>
                <w:color w:val="FFC000"/>
                <w:sz w:val="28"/>
              </w:rPr>
              <w:t>объем финансового обеспечения Подпрограммы составит 19 166,53 тыс. рублей, в том числе по источникам финансового обеспечения:</w:t>
            </w:r>
          </w:p>
          <w:p w14:paraId="4C010000">
            <w:pPr>
              <w:widowControl w:val="0"/>
              <w:ind/>
              <w:jc w:val="both"/>
              <w:rPr>
                <w:color w:val="FFC000"/>
                <w:sz w:val="28"/>
              </w:rPr>
            </w:pPr>
            <w:r>
              <w:rPr>
                <w:color w:val="FFC000"/>
                <w:sz w:val="28"/>
              </w:rPr>
              <w:t>бюджет округа – 19 166,53 тыс. рублей, в том числе по годам:</w:t>
            </w:r>
          </w:p>
          <w:p w14:paraId="4D010000">
            <w:pPr>
              <w:widowControl w:val="0"/>
              <w:ind/>
              <w:jc w:val="both"/>
              <w:rPr>
                <w:color w:val="FFC000"/>
                <w:sz w:val="28"/>
              </w:rPr>
            </w:pPr>
            <w:r>
              <w:rPr>
                <w:color w:val="FFC000"/>
                <w:sz w:val="28"/>
              </w:rPr>
              <w:t>2021 год – 3 128,40 тыс. рублей;</w:t>
            </w:r>
          </w:p>
          <w:p w14:paraId="4E010000">
            <w:pPr>
              <w:widowControl w:val="0"/>
              <w:ind/>
              <w:jc w:val="both"/>
              <w:rPr>
                <w:color w:val="FFC000"/>
                <w:sz w:val="28"/>
              </w:rPr>
            </w:pPr>
            <w:r>
              <w:rPr>
                <w:color w:val="FFC000"/>
                <w:sz w:val="28"/>
              </w:rPr>
              <w:t>2022 год – 7 189,86 тыс. рублей;</w:t>
            </w:r>
          </w:p>
          <w:p w14:paraId="4F010000">
            <w:pPr>
              <w:widowControl w:val="0"/>
              <w:ind/>
              <w:jc w:val="both"/>
              <w:rPr>
                <w:color w:val="FFC000"/>
                <w:sz w:val="28"/>
              </w:rPr>
            </w:pPr>
            <w:r>
              <w:rPr>
                <w:color w:val="FFC000"/>
                <w:sz w:val="28"/>
              </w:rPr>
              <w:t>2023 год – 2 213,32 тыс. рублей;</w:t>
            </w:r>
          </w:p>
          <w:p w14:paraId="50010000">
            <w:pPr>
              <w:widowControl w:val="0"/>
              <w:ind/>
              <w:jc w:val="both"/>
              <w:rPr>
                <w:color w:val="FFC000"/>
                <w:sz w:val="28"/>
              </w:rPr>
            </w:pPr>
            <w:r>
              <w:rPr>
                <w:color w:val="FFC000"/>
                <w:sz w:val="28"/>
              </w:rPr>
              <w:t>2024 год – 2 238,32 тыс. рублей;</w:t>
            </w:r>
          </w:p>
          <w:p w14:paraId="51010000">
            <w:pPr>
              <w:widowControl w:val="0"/>
              <w:ind/>
              <w:jc w:val="both"/>
              <w:rPr>
                <w:color w:val="FFC000"/>
                <w:sz w:val="28"/>
              </w:rPr>
            </w:pPr>
            <w:r>
              <w:rPr>
                <w:color w:val="FFC000"/>
                <w:sz w:val="28"/>
              </w:rPr>
              <w:t>2025 год – 2 198,32 тыс. рублей;</w:t>
            </w:r>
          </w:p>
          <w:p w14:paraId="52010000">
            <w:pPr>
              <w:widowControl w:val="0"/>
              <w:ind/>
              <w:jc w:val="both"/>
              <w:rPr>
                <w:color w:val="FFC000"/>
                <w:sz w:val="28"/>
              </w:rPr>
            </w:pPr>
            <w:r>
              <w:rPr>
                <w:color w:val="FFC000"/>
                <w:sz w:val="28"/>
              </w:rPr>
              <w:t>2026 год – 2 198,32 тыс. рублей;</w:t>
            </w:r>
          </w:p>
          <w:p w14:paraId="53010000">
            <w:pPr>
              <w:widowControl w:val="0"/>
              <w:ind/>
              <w:jc w:val="both"/>
              <w:rPr>
                <w:color w:val="FFC000"/>
                <w:sz w:val="28"/>
              </w:rPr>
            </w:pPr>
            <w:r>
              <w:rPr>
                <w:color w:val="FFC000"/>
                <w:sz w:val="28"/>
              </w:rPr>
              <w:t>за счет межбюджетных трансфертов 5 920,42 тыс. рублей, в том числе по годам:</w:t>
            </w:r>
          </w:p>
          <w:p w14:paraId="54010000">
            <w:pPr>
              <w:widowControl w:val="0"/>
              <w:ind/>
              <w:jc w:val="both"/>
              <w:rPr>
                <w:color w:val="FFC000"/>
                <w:sz w:val="28"/>
              </w:rPr>
            </w:pPr>
            <w:r>
              <w:rPr>
                <w:color w:val="FFC000"/>
                <w:sz w:val="28"/>
              </w:rPr>
              <w:t>2021 год – 678,46 тыс. рублей;</w:t>
            </w:r>
          </w:p>
          <w:p w14:paraId="55010000">
            <w:pPr>
              <w:widowControl w:val="0"/>
              <w:ind/>
              <w:jc w:val="both"/>
              <w:rPr>
                <w:color w:val="FFC000"/>
                <w:sz w:val="28"/>
              </w:rPr>
            </w:pPr>
            <w:r>
              <w:rPr>
                <w:color w:val="FFC000"/>
                <w:sz w:val="28"/>
              </w:rPr>
              <w:t>2022 год – 4 841,96 тыс. рублей;</w:t>
            </w:r>
          </w:p>
          <w:p w14:paraId="56010000">
            <w:pPr>
              <w:widowControl w:val="0"/>
              <w:ind/>
              <w:jc w:val="both"/>
              <w:rPr>
                <w:color w:val="FFC000"/>
                <w:sz w:val="28"/>
              </w:rPr>
            </w:pPr>
            <w:r>
              <w:rPr>
                <w:color w:val="FFC000"/>
                <w:sz w:val="28"/>
              </w:rPr>
              <w:t>2023 год – 100,00 тыс. рублей;</w:t>
            </w:r>
          </w:p>
          <w:p w14:paraId="57010000">
            <w:pPr>
              <w:widowControl w:val="0"/>
              <w:ind/>
              <w:jc w:val="both"/>
              <w:rPr>
                <w:color w:val="FFC000"/>
                <w:sz w:val="28"/>
              </w:rPr>
            </w:pPr>
            <w:r>
              <w:rPr>
                <w:color w:val="FFC000"/>
                <w:sz w:val="28"/>
              </w:rPr>
              <w:t>2024 год – 100,00 тыс. рублей;</w:t>
            </w:r>
          </w:p>
          <w:p w14:paraId="58010000">
            <w:pPr>
              <w:widowControl w:val="0"/>
              <w:ind/>
              <w:jc w:val="both"/>
              <w:rPr>
                <w:color w:val="FFC000"/>
                <w:sz w:val="28"/>
              </w:rPr>
            </w:pPr>
            <w:r>
              <w:rPr>
                <w:color w:val="FFC000"/>
                <w:sz w:val="28"/>
              </w:rPr>
              <w:t>2025 год – 100,00 тыс. рублей;</w:t>
            </w:r>
          </w:p>
          <w:p w14:paraId="59010000">
            <w:pPr>
              <w:widowControl w:val="0"/>
              <w:ind/>
              <w:jc w:val="both"/>
              <w:rPr>
                <w:color w:val="FFC000"/>
                <w:sz w:val="28"/>
              </w:rPr>
            </w:pPr>
            <w:r>
              <w:rPr>
                <w:color w:val="FFC000"/>
                <w:sz w:val="28"/>
              </w:rPr>
              <w:t>2026 год – 100,00 тыс. рублей;</w:t>
            </w:r>
          </w:p>
          <w:p w14:paraId="5A010000">
            <w:pPr>
              <w:widowControl w:val="0"/>
              <w:ind/>
              <w:jc w:val="both"/>
              <w:rPr>
                <w:color w:val="FFC000"/>
                <w:sz w:val="28"/>
              </w:rPr>
            </w:pPr>
            <w:r>
              <w:rPr>
                <w:color w:val="FFC000"/>
                <w:sz w:val="28"/>
              </w:rPr>
              <w:t>средства участников Подпрограммы 0,00 тыс. рублей, в том числе по годам:</w:t>
            </w:r>
          </w:p>
          <w:p w14:paraId="5B010000">
            <w:pPr>
              <w:widowControl w:val="0"/>
              <w:ind/>
              <w:jc w:val="both"/>
              <w:rPr>
                <w:color w:val="FFC000"/>
                <w:sz w:val="28"/>
              </w:rPr>
            </w:pPr>
            <w:r>
              <w:rPr>
                <w:color w:val="FFC000"/>
                <w:sz w:val="28"/>
              </w:rPr>
              <w:t>2021 год – 0,00 тыс. рублей;</w:t>
            </w:r>
          </w:p>
          <w:p w14:paraId="5C010000">
            <w:pPr>
              <w:widowControl w:val="0"/>
              <w:ind/>
              <w:jc w:val="both"/>
              <w:rPr>
                <w:color w:val="FFC000"/>
                <w:sz w:val="28"/>
              </w:rPr>
            </w:pPr>
            <w:r>
              <w:rPr>
                <w:color w:val="FFC000"/>
                <w:sz w:val="28"/>
              </w:rPr>
              <w:t>2022 год – 0,00 тыс. рублей;</w:t>
            </w:r>
          </w:p>
          <w:p w14:paraId="5D010000">
            <w:pPr>
              <w:widowControl w:val="0"/>
              <w:ind/>
              <w:jc w:val="both"/>
              <w:rPr>
                <w:color w:val="FFC000"/>
                <w:sz w:val="28"/>
              </w:rPr>
            </w:pPr>
            <w:r>
              <w:rPr>
                <w:color w:val="FFC000"/>
                <w:sz w:val="28"/>
              </w:rPr>
              <w:t>2023 год – 0,00 тыс. рублей;</w:t>
            </w:r>
          </w:p>
          <w:p w14:paraId="5E010000">
            <w:pPr>
              <w:widowControl w:val="0"/>
              <w:ind/>
              <w:jc w:val="both"/>
              <w:rPr>
                <w:color w:val="FFC000"/>
                <w:sz w:val="28"/>
              </w:rPr>
            </w:pPr>
            <w:r>
              <w:rPr>
                <w:color w:val="FFC000"/>
                <w:sz w:val="28"/>
              </w:rPr>
              <w:t>2024 год – 0,00 тыс. рублей;</w:t>
            </w:r>
          </w:p>
          <w:p w14:paraId="5F010000">
            <w:pPr>
              <w:widowControl w:val="0"/>
              <w:ind/>
              <w:jc w:val="both"/>
              <w:rPr>
                <w:color w:val="FFC000"/>
                <w:sz w:val="28"/>
              </w:rPr>
            </w:pPr>
            <w:r>
              <w:rPr>
                <w:color w:val="FFC000"/>
                <w:sz w:val="28"/>
              </w:rPr>
              <w:t>2025 год – 0,00 тыс. рублей;</w:t>
            </w:r>
          </w:p>
          <w:p w14:paraId="60010000">
            <w:pPr>
              <w:widowControl w:val="0"/>
              <w:ind/>
              <w:jc w:val="both"/>
              <w:rPr>
                <w:color w:val="FFC000"/>
                <w:sz w:val="28"/>
              </w:rPr>
            </w:pPr>
            <w:r>
              <w:rPr>
                <w:color w:val="FFC000"/>
                <w:sz w:val="28"/>
              </w:rPr>
              <w:t>2026 год – 0,00 тыс. рублей;</w:t>
            </w:r>
          </w:p>
          <w:p w14:paraId="61010000">
            <w:pPr>
              <w:widowControl w:val="0"/>
              <w:ind/>
              <w:jc w:val="both"/>
              <w:rPr>
                <w:color w:val="FFC000"/>
                <w:sz w:val="28"/>
              </w:rPr>
            </w:pPr>
            <w:r>
              <w:rPr>
                <w:color w:val="FFC000"/>
                <w:sz w:val="28"/>
              </w:rPr>
              <w:t>внебюджетные средства и иные источники 0,00 тыс. рублей, в том числе по годам:</w:t>
            </w:r>
          </w:p>
          <w:p w14:paraId="62010000">
            <w:pPr>
              <w:widowControl w:val="0"/>
              <w:ind/>
              <w:jc w:val="both"/>
              <w:rPr>
                <w:color w:val="FFC000"/>
                <w:sz w:val="28"/>
              </w:rPr>
            </w:pPr>
            <w:r>
              <w:rPr>
                <w:color w:val="FFC000"/>
                <w:sz w:val="28"/>
              </w:rPr>
              <w:t>2021 год – 0,00 тыс. рублей;</w:t>
            </w:r>
          </w:p>
          <w:p w14:paraId="63010000">
            <w:pPr>
              <w:widowControl w:val="0"/>
              <w:ind/>
              <w:jc w:val="both"/>
              <w:rPr>
                <w:color w:val="FFC000"/>
                <w:sz w:val="28"/>
              </w:rPr>
            </w:pPr>
            <w:r>
              <w:rPr>
                <w:color w:val="FFC000"/>
                <w:sz w:val="28"/>
              </w:rPr>
              <w:t>2022 год – 0,00 тыс. рублей;</w:t>
            </w:r>
          </w:p>
          <w:p w14:paraId="64010000">
            <w:pPr>
              <w:widowControl w:val="0"/>
              <w:ind/>
              <w:jc w:val="both"/>
              <w:rPr>
                <w:color w:val="FFC000"/>
                <w:sz w:val="28"/>
              </w:rPr>
            </w:pPr>
            <w:r>
              <w:rPr>
                <w:color w:val="FFC000"/>
                <w:sz w:val="28"/>
              </w:rPr>
              <w:t>2023 год – 0,00 тыс. рублей;</w:t>
            </w:r>
          </w:p>
          <w:p w14:paraId="65010000">
            <w:pPr>
              <w:widowControl w:val="0"/>
              <w:ind/>
              <w:jc w:val="both"/>
              <w:rPr>
                <w:color w:val="FFC000"/>
                <w:sz w:val="28"/>
              </w:rPr>
            </w:pPr>
            <w:r>
              <w:rPr>
                <w:color w:val="FFC000"/>
                <w:sz w:val="28"/>
              </w:rPr>
              <w:t>2024 год – 0,00 тыс. рублей;</w:t>
            </w:r>
          </w:p>
          <w:p w14:paraId="66010000">
            <w:pPr>
              <w:widowControl w:val="0"/>
              <w:ind/>
              <w:jc w:val="both"/>
              <w:rPr>
                <w:color w:val="FFC000"/>
                <w:sz w:val="28"/>
              </w:rPr>
            </w:pPr>
            <w:r>
              <w:rPr>
                <w:color w:val="FFC000"/>
                <w:sz w:val="28"/>
              </w:rPr>
              <w:t>2025 год – 0,00 тыс. рублей;</w:t>
            </w:r>
          </w:p>
          <w:p w14:paraId="67010000">
            <w:pPr>
              <w:widowControl w:val="0"/>
              <w:ind/>
              <w:jc w:val="both"/>
              <w:rPr>
                <w:color w:val="FFC000"/>
                <w:sz w:val="28"/>
              </w:rPr>
            </w:pPr>
            <w:r>
              <w:rPr>
                <w:color w:val="FFC000"/>
                <w:sz w:val="28"/>
              </w:rPr>
              <w:t>2026 год – 0,00 тыс. рублей.</w:t>
            </w:r>
          </w:p>
          <w:p w14:paraId="68010000">
            <w:pPr>
              <w:widowControl w:val="0"/>
              <w:ind/>
              <w:jc w:val="both"/>
              <w:rPr>
                <w:color w:val="FFC000"/>
                <w:sz w:val="28"/>
              </w:rPr>
            </w:pPr>
          </w:p>
        </w:tc>
      </w:tr>
      <w:tr>
        <w:tc>
          <w:tcPr>
            <w:tcW w:type="dxa" w:w="370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Ожидаемые результаты          реализации</w:t>
            </w:r>
          </w:p>
          <w:p w14:paraId="6A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Подпрограммы</w:t>
            </w:r>
          </w:p>
          <w:p w14:paraId="6B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  <w:sz w:val="28"/>
              </w:rPr>
            </w:pPr>
          </w:p>
        </w:tc>
        <w:tc>
          <w:tcPr>
            <w:tcW w:type="dxa" w:w="5580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обеспечение функционирования камер видеонаблюдения в муниципальных учреждениях к 2026 г. на 100%;</w:t>
            </w:r>
          </w:p>
          <w:p w14:paraId="6D010000">
            <w:pPr>
              <w:widowControl w:val="0"/>
              <w:tabs>
                <w:tab w:leader="none" w:pos="1110" w:val="left"/>
              </w:tabs>
              <w:ind/>
              <w:jc w:val="both"/>
            </w:pPr>
            <w:r>
              <w:rPr>
                <w:color w:val="FF0000"/>
                <w:sz w:val="28"/>
              </w:rPr>
              <w:t>увеличение количества проведенных мероприятий, направленных на противодействие идеологии терроризма и экстремизма не менее 3 к 2026 году.</w:t>
            </w:r>
          </w:p>
        </w:tc>
      </w:tr>
    </w:tbl>
    <w:p w14:paraId="6E010000">
      <w:pPr>
        <w:widowControl w:val="0"/>
        <w:tabs>
          <w:tab w:leader="none" w:pos="1110" w:val="left"/>
        </w:tabs>
        <w:ind/>
        <w:rPr>
          <w:color w:val="FF0000"/>
          <w:sz w:val="28"/>
        </w:rPr>
      </w:pPr>
    </w:p>
    <w:p w14:paraId="6F010000">
      <w:pPr>
        <w:widowControl w:val="0"/>
        <w:tabs>
          <w:tab w:leader="none" w:pos="1110" w:val="left"/>
        </w:tabs>
        <w:ind w:firstLine="709" w:left="0" w:right="0"/>
        <w:jc w:val="center"/>
        <w:rPr>
          <w:color w:val="FF0000"/>
          <w:sz w:val="28"/>
        </w:rPr>
      </w:pPr>
      <w:r>
        <w:rPr>
          <w:color w:val="FF0000"/>
          <w:sz w:val="28"/>
        </w:rPr>
        <w:t xml:space="preserve">Характеристика основных мероприятий Подпрограммы </w:t>
      </w:r>
    </w:p>
    <w:p w14:paraId="70010000">
      <w:pPr>
        <w:widowControl w:val="0"/>
        <w:tabs>
          <w:tab w:leader="none" w:pos="1110" w:val="left"/>
        </w:tabs>
        <w:ind w:firstLine="709" w:left="0" w:right="0"/>
        <w:jc w:val="center"/>
        <w:rPr>
          <w:color w:val="FF0000"/>
          <w:sz w:val="28"/>
        </w:rPr>
      </w:pPr>
      <w:r>
        <w:rPr>
          <w:color w:val="FF0000"/>
          <w:sz w:val="28"/>
        </w:rPr>
        <w:t>Основными мероприятиями Подпрограммы являются:</w:t>
      </w:r>
    </w:p>
    <w:p w14:paraId="71010000">
      <w:pPr>
        <w:widowControl w:val="0"/>
        <w:ind w:firstLine="709" w:left="0" w:right="0"/>
        <w:jc w:val="both"/>
        <w:rPr>
          <w:color w:val="FF0000"/>
          <w:sz w:val="28"/>
        </w:rPr>
      </w:pPr>
      <w:r>
        <w:rPr>
          <w:color w:val="FF0000"/>
          <w:sz w:val="28"/>
        </w:rPr>
        <w:t xml:space="preserve">1. </w:t>
      </w:r>
      <w:r>
        <w:rPr>
          <w:color w:val="FF0000"/>
          <w:sz w:val="28"/>
        </w:rPr>
        <w:t>Обеспечение безопасности муниципальных учреждений и граждан в местах массового пребывания людей от угроз терроризма.</w:t>
      </w:r>
    </w:p>
    <w:p w14:paraId="72010000">
      <w:pPr>
        <w:widowControl w:val="0"/>
        <w:ind w:firstLine="709" w:left="0" w:right="0"/>
        <w:jc w:val="both"/>
        <w:rPr>
          <w:color w:val="FF0000"/>
          <w:sz w:val="28"/>
        </w:rPr>
      </w:pPr>
      <w:r>
        <w:rPr>
          <w:color w:val="FF0000"/>
          <w:sz w:val="28"/>
        </w:rPr>
        <w:t>Повышение безопасности населения округа и снижение социально- экономического ущерба от чрезвычайных ситуаций и происшествий путём создания технических и технологических условий для повышения обоснованности, качества и скорости принятия управленческих решений;</w:t>
      </w:r>
    </w:p>
    <w:p w14:paraId="73010000">
      <w:pPr>
        <w:widowControl w:val="0"/>
        <w:ind w:firstLine="709" w:left="0" w:right="0"/>
        <w:jc w:val="both"/>
        <w:rPr>
          <w:color w:val="FF0000"/>
          <w:sz w:val="28"/>
        </w:rPr>
      </w:pPr>
      <w:r>
        <w:rPr>
          <w:color w:val="FF0000"/>
          <w:sz w:val="28"/>
        </w:rPr>
        <w:t>предупреждение (профилактика) террористических проявлений на территории округа в рамках реализации государственной политики в области противодействия терроризму;</w:t>
      </w:r>
    </w:p>
    <w:p w14:paraId="74010000">
      <w:pPr>
        <w:widowControl w:val="0"/>
        <w:tabs>
          <w:tab w:leader="none" w:pos="1110" w:val="left"/>
        </w:tabs>
        <w:ind w:firstLine="709" w:left="0" w:right="0"/>
        <w:jc w:val="both"/>
        <w:rPr>
          <w:color w:val="FF0000"/>
          <w:sz w:val="28"/>
        </w:rPr>
      </w:pPr>
      <w:r>
        <w:rPr>
          <w:color w:val="FF0000"/>
          <w:sz w:val="28"/>
        </w:rPr>
        <w:t xml:space="preserve">В рамках данного основного мероприятия планируется реализация следующих мер: </w:t>
      </w:r>
    </w:p>
    <w:p w14:paraId="75010000">
      <w:pPr>
        <w:widowControl w:val="0"/>
        <w:ind w:firstLine="709" w:left="0" w:right="0"/>
        <w:jc w:val="both"/>
        <w:rPr>
          <w:color w:val="FF0000"/>
          <w:sz w:val="28"/>
        </w:rPr>
      </w:pPr>
      <w:r>
        <w:rPr>
          <w:color w:val="FF0000"/>
          <w:sz w:val="28"/>
        </w:rPr>
        <w:t>развитие и обеспечение функционирования системы комплексного обеспечения безопасности жизнедеятельности Андроповского муниципального округа на основе внедрения информационно-коммуникационных технологий;</w:t>
      </w:r>
    </w:p>
    <w:p w14:paraId="76010000">
      <w:pPr>
        <w:widowControl w:val="0"/>
        <w:ind w:firstLine="709" w:left="0" w:right="0"/>
        <w:jc w:val="both"/>
        <w:rPr>
          <w:color w:val="FF0000"/>
          <w:sz w:val="28"/>
        </w:rPr>
      </w:pPr>
      <w:r>
        <w:rPr>
          <w:color w:val="FF0000"/>
          <w:sz w:val="28"/>
        </w:rPr>
        <w:t>развитие и обеспечение функционирования интегрированного технологического и информационного ресурса для муниципальных органов и организаций, участвующих в обеспечении безопасности жизнедеятельности населения округа;</w:t>
      </w:r>
    </w:p>
    <w:p w14:paraId="77010000">
      <w:pPr>
        <w:widowControl w:val="0"/>
        <w:ind w:firstLine="709" w:left="0" w:right="0"/>
        <w:jc w:val="both"/>
        <w:rPr>
          <w:color w:val="FF0000"/>
          <w:sz w:val="28"/>
        </w:rPr>
      </w:pPr>
      <w:r>
        <w:rPr>
          <w:color w:val="FF0000"/>
          <w:sz w:val="28"/>
        </w:rPr>
        <w:t>внедрение новейших информационных и телекоммуникационных технологий для эффективного управления регионом в условиях жёсткого дефицита времени при высокой скорости развития чрезвычайных ситуаций;</w:t>
      </w:r>
    </w:p>
    <w:p w14:paraId="78010000">
      <w:pPr>
        <w:widowControl w:val="0"/>
        <w:tabs>
          <w:tab w:leader="none" w:pos="1110" w:val="left"/>
        </w:tabs>
        <w:ind w:firstLine="709" w:left="0" w:right="0"/>
        <w:jc w:val="both"/>
        <w:rPr>
          <w:color w:val="FF0000"/>
          <w:sz w:val="28"/>
        </w:rPr>
      </w:pPr>
      <w:r>
        <w:rPr>
          <w:color w:val="FF0000"/>
          <w:sz w:val="28"/>
        </w:rPr>
        <w:t>повышение инженерно-технической защищённости зданий администрации Андроповского муниципального округа.</w:t>
      </w:r>
    </w:p>
    <w:p w14:paraId="79010000">
      <w:pPr>
        <w:widowControl w:val="0"/>
        <w:tabs>
          <w:tab w:leader="none" w:pos="0" w:val="left"/>
        </w:tabs>
        <w:ind w:firstLine="709" w:left="0" w:right="0"/>
        <w:jc w:val="both"/>
        <w:rPr>
          <w:color w:val="FF0000"/>
          <w:sz w:val="28"/>
        </w:rPr>
      </w:pPr>
      <w:r>
        <w:rPr>
          <w:color w:val="FF0000"/>
          <w:sz w:val="28"/>
        </w:rPr>
        <w:t xml:space="preserve">Непосредственным результатом реализации данного основного мероприятия Подпрограммы является: </w:t>
      </w:r>
      <w:r>
        <w:rPr>
          <w:color w:val="FF0000"/>
          <w:sz w:val="28"/>
        </w:rPr>
        <w:t>обеспечение функционирования камер видеонаблюдения в муниципальных учреждениях на 100%.</w:t>
      </w:r>
    </w:p>
    <w:p w14:paraId="7A010000">
      <w:pPr>
        <w:widowControl w:val="0"/>
        <w:ind w:firstLine="709" w:left="0" w:right="0"/>
        <w:jc w:val="both"/>
        <w:rPr>
          <w:color w:val="FF0000"/>
          <w:sz w:val="28"/>
        </w:rPr>
      </w:pPr>
      <w:r>
        <w:rPr>
          <w:color w:val="FF0000"/>
          <w:sz w:val="28"/>
        </w:rPr>
        <w:t>2. Противодействие идеологии терроризма и экстремизма.</w:t>
      </w:r>
    </w:p>
    <w:p w14:paraId="7B010000">
      <w:pPr>
        <w:widowControl w:val="0"/>
        <w:ind w:firstLine="709" w:left="0" w:right="0"/>
        <w:jc w:val="both"/>
        <w:rPr>
          <w:color w:val="FF0000"/>
          <w:sz w:val="28"/>
        </w:rPr>
      </w:pPr>
      <w:r>
        <w:rPr>
          <w:color w:val="FF0000"/>
          <w:sz w:val="28"/>
        </w:rPr>
        <w:t>Повышение бдительности населения Андроповского муниципального округа путём проведения информационно-пропагандистских мероприятий, направленных на противодействие идеологии терроризма и экстремизма.</w:t>
      </w:r>
    </w:p>
    <w:p w14:paraId="7C010000">
      <w:pPr>
        <w:widowControl w:val="0"/>
        <w:ind w:firstLine="709" w:left="0" w:right="0"/>
        <w:jc w:val="both"/>
        <w:rPr>
          <w:color w:val="FF0000"/>
          <w:sz w:val="28"/>
        </w:rPr>
      </w:pPr>
      <w:r>
        <w:rPr>
          <w:color w:val="FF0000"/>
          <w:sz w:val="28"/>
        </w:rPr>
        <w:t xml:space="preserve">В рамках данного основного мероприятия планируется реализация следующих мер: </w:t>
      </w:r>
    </w:p>
    <w:p w14:paraId="7D010000">
      <w:pPr>
        <w:widowControl w:val="0"/>
        <w:ind w:firstLine="709" w:left="0" w:right="0"/>
        <w:jc w:val="both"/>
        <w:rPr>
          <w:color w:val="FF0000"/>
          <w:sz w:val="28"/>
        </w:rPr>
      </w:pPr>
      <w:r>
        <w:rPr>
          <w:color w:val="FF0000"/>
          <w:sz w:val="28"/>
        </w:rPr>
        <w:t>проведение конкурсов, направленных на профилактику идеологии терроризма и экстремизма;</w:t>
      </w:r>
    </w:p>
    <w:p w14:paraId="7E010000">
      <w:pPr>
        <w:widowControl w:val="0"/>
        <w:ind w:firstLine="709" w:left="0" w:right="0"/>
        <w:jc w:val="both"/>
        <w:rPr>
          <w:color w:val="FF0000"/>
          <w:sz w:val="28"/>
        </w:rPr>
      </w:pPr>
      <w:r>
        <w:rPr>
          <w:color w:val="FF0000"/>
          <w:sz w:val="28"/>
        </w:rPr>
        <w:t xml:space="preserve">организация для детей и молодежи общественных мероприятий, направленных на противодействие идеологии терроризма, в том числе спортивных, патриотических, научно-практических и иных мероприятий. </w:t>
      </w:r>
    </w:p>
    <w:p w14:paraId="7F010000">
      <w:pPr>
        <w:widowControl w:val="0"/>
        <w:ind w:firstLine="709" w:left="0" w:right="0"/>
        <w:jc w:val="both"/>
        <w:rPr>
          <w:color w:val="FF0000"/>
          <w:sz w:val="28"/>
        </w:rPr>
      </w:pPr>
      <w:r>
        <w:rPr>
          <w:color w:val="FF0000"/>
          <w:sz w:val="28"/>
        </w:rPr>
        <w:t>Непосредственным результатом реализации данного основного мероприятия Подпрограммы является: увеличение количества мероприятий, направленных на противодействие идеологии терроризма и экстремизма, проводимых ежегодно с учащейся молодежью Андроповского муниципального округа не менее 3 в 2026 году.</w:t>
      </w:r>
    </w:p>
    <w:p w14:paraId="80010000">
      <w:pPr>
        <w:widowControl w:val="0"/>
        <w:ind w:firstLine="709" w:left="0" w:right="0"/>
        <w:jc w:val="both"/>
        <w:rPr>
          <w:color w:val="FF0000"/>
          <w:sz w:val="28"/>
        </w:rPr>
      </w:pPr>
      <w:r>
        <w:rPr>
          <w:color w:val="FF0000"/>
          <w:sz w:val="28"/>
        </w:rPr>
        <w:t>Сведения об индикаторах достижения целей Подпрограммы Программы и показателях решения задач Подпрограммы Программы приведены в таблице 1 приложения 3.</w:t>
      </w:r>
    </w:p>
    <w:p w14:paraId="81010000">
      <w:pPr>
        <w:widowControl w:val="0"/>
        <w:ind w:firstLine="709" w:left="0" w:right="0"/>
        <w:jc w:val="both"/>
        <w:rPr>
          <w:color w:val="FF0000"/>
          <w:sz w:val="28"/>
        </w:rPr>
      </w:pPr>
      <w:r>
        <w:rPr>
          <w:color w:val="FF0000"/>
          <w:sz w:val="28"/>
        </w:rPr>
        <w:t>Перечень основных мероприятий Подпрограммы Программы приведен в таблице 2 приложения 3.</w:t>
      </w:r>
    </w:p>
    <w:p w14:paraId="82010000">
      <w:pPr>
        <w:widowControl w:val="0"/>
        <w:ind w:firstLine="709" w:left="0" w:right="0"/>
        <w:jc w:val="both"/>
        <w:rPr>
          <w:color w:val="FF0000"/>
          <w:sz w:val="28"/>
        </w:rPr>
      </w:pPr>
      <w:r>
        <w:rPr>
          <w:color w:val="FF0000"/>
          <w:sz w:val="28"/>
        </w:rPr>
        <w:t>Объемы и источники финансового обеспечения Подпрограммы Про-граммы приведены в таблице 3 приложения 3.</w:t>
      </w:r>
    </w:p>
    <w:p w14:paraId="83010000">
      <w:pPr>
        <w:widowControl w:val="0"/>
        <w:ind w:firstLine="709" w:left="0" w:right="0"/>
        <w:jc w:val="both"/>
        <w:rPr>
          <w:color w:val="FF0000"/>
          <w:sz w:val="28"/>
        </w:rPr>
      </w:pPr>
      <w:r>
        <w:rPr>
          <w:color w:val="FF0000"/>
          <w:sz w:val="28"/>
        </w:rPr>
        <w:t>Сведения о весовых коэффициентах, присвоенных целям Подпрограммы Программы задачам подпрограмм Программы в таблице 4</w:t>
      </w:r>
      <w:r>
        <w:rPr>
          <w:color w:val="FF0000"/>
          <w:sz w:val="28"/>
          <w:vertAlign w:val="superscript"/>
        </w:rPr>
        <w:t xml:space="preserve"> </w:t>
      </w:r>
      <w:r>
        <w:rPr>
          <w:color w:val="FF0000"/>
          <w:sz w:val="28"/>
        </w:rPr>
        <w:t>приложения 3.</w:t>
      </w:r>
    </w:p>
    <w:p w14:paraId="84010000">
      <w:pPr>
        <w:numPr>
          <w:ilvl w:val="0"/>
          <w:numId w:val="0"/>
        </w:numPr>
        <w:spacing w:line="240" w:lineRule="exact"/>
        <w:ind w:firstLine="0" w:left="4248" w:right="0"/>
        <w:jc w:val="center"/>
        <w:outlineLvl w:val="2"/>
        <w:rPr>
          <w:color w:val="FF0000"/>
          <w:sz w:val="28"/>
        </w:rPr>
      </w:pPr>
    </w:p>
    <w:p w14:paraId="85010000">
      <w:pPr>
        <w:numPr>
          <w:ilvl w:val="0"/>
          <w:numId w:val="0"/>
        </w:numPr>
        <w:spacing w:line="240" w:lineRule="exact"/>
        <w:ind w:firstLine="0" w:left="4248" w:right="0"/>
        <w:jc w:val="center"/>
        <w:outlineLvl w:val="2"/>
        <w:rPr>
          <w:color w:val="FF0000"/>
          <w:sz w:val="28"/>
        </w:rPr>
      </w:pPr>
    </w:p>
    <w:p w14:paraId="86010000">
      <w:pPr>
        <w:rPr>
          <w:color w:val="FF0000"/>
          <w:sz w:val="28"/>
        </w:rPr>
      </w:pPr>
    </w:p>
    <w:p w14:paraId="87010000">
      <w:pPr>
        <w:rPr>
          <w:color w:val="FF0000"/>
          <w:sz w:val="28"/>
        </w:rPr>
      </w:pPr>
    </w:p>
    <w:p w14:paraId="88010000">
      <w:pPr>
        <w:sectPr>
          <w:headerReference r:id="rId1" w:type="default"/>
          <w:headerReference r:id="rId3" w:type="first"/>
          <w:pgSz w:h="16838" w:orient="portrait" w:w="11906"/>
          <w:pgMar w:bottom="1134" w:footer="708" w:header="1134" w:left="1985" w:right="567" w:top="1739"/>
          <w:pgNumType w:fmt="decimal" w:start="1"/>
          <w:titlePg/>
        </w:sectPr>
      </w:pPr>
    </w:p>
    <w:p w14:paraId="89010000">
      <w:pPr>
        <w:widowControl w:val="0"/>
        <w:spacing w:line="240" w:lineRule="exact"/>
        <w:ind w:firstLine="0" w:left="9204" w:right="0"/>
        <w:jc w:val="center"/>
        <w:rPr>
          <w:color w:val="FF0000"/>
          <w:sz w:val="28"/>
        </w:rPr>
      </w:pPr>
      <w:r>
        <w:rPr>
          <w:color w:val="FF0000"/>
          <w:sz w:val="28"/>
        </w:rPr>
        <w:t>Приложение 3</w:t>
      </w:r>
    </w:p>
    <w:p w14:paraId="8A010000">
      <w:pPr>
        <w:widowControl w:val="0"/>
        <w:spacing w:line="240" w:lineRule="exact"/>
        <w:ind w:firstLine="0" w:left="9204" w:right="0"/>
        <w:jc w:val="center"/>
        <w:rPr>
          <w:color w:val="FF0000"/>
          <w:sz w:val="28"/>
        </w:rPr>
      </w:pPr>
    </w:p>
    <w:p w14:paraId="8B010000">
      <w:pPr>
        <w:widowControl w:val="0"/>
        <w:spacing w:line="240" w:lineRule="exact"/>
        <w:ind w:firstLine="0" w:left="9204" w:right="0"/>
        <w:jc w:val="center"/>
        <w:rPr>
          <w:color w:val="FF0000"/>
          <w:sz w:val="28"/>
        </w:rPr>
      </w:pPr>
      <w:r>
        <w:rPr>
          <w:color w:val="FF0000"/>
          <w:sz w:val="28"/>
        </w:rPr>
        <w:t>к муниципальной программе</w:t>
      </w:r>
    </w:p>
    <w:p w14:paraId="8C010000">
      <w:pPr>
        <w:widowControl w:val="0"/>
        <w:spacing w:line="240" w:lineRule="exact"/>
        <w:ind w:firstLine="0" w:left="9204" w:right="0"/>
        <w:jc w:val="center"/>
        <w:rPr>
          <w:color w:val="FF0000"/>
          <w:sz w:val="28"/>
        </w:rPr>
      </w:pPr>
      <w:r>
        <w:rPr>
          <w:color w:val="FF0000"/>
          <w:sz w:val="28"/>
        </w:rPr>
        <w:t>Андроповского муниципального округа Ставропольского края «Обеспечение</w:t>
      </w:r>
    </w:p>
    <w:p w14:paraId="8D010000">
      <w:pPr>
        <w:widowControl w:val="0"/>
        <w:spacing w:line="240" w:lineRule="exact"/>
        <w:ind w:firstLine="0" w:left="9204" w:right="0"/>
        <w:jc w:val="center"/>
        <w:rPr>
          <w:color w:val="FF0000"/>
          <w:sz w:val="28"/>
        </w:rPr>
      </w:pPr>
      <w:r>
        <w:rPr>
          <w:color w:val="FF0000"/>
          <w:sz w:val="28"/>
        </w:rPr>
        <w:t>безопасности жизнедеятельности</w:t>
      </w:r>
    </w:p>
    <w:p w14:paraId="8E010000">
      <w:pPr>
        <w:widowControl w:val="0"/>
        <w:spacing w:line="240" w:lineRule="exact"/>
        <w:ind w:firstLine="0" w:left="9204" w:right="0"/>
        <w:jc w:val="center"/>
        <w:rPr>
          <w:color w:val="FF0000"/>
          <w:sz w:val="28"/>
        </w:rPr>
      </w:pPr>
      <w:r>
        <w:rPr>
          <w:color w:val="FF0000"/>
          <w:sz w:val="28"/>
        </w:rPr>
        <w:t>населения»</w:t>
      </w:r>
    </w:p>
    <w:p w14:paraId="8F010000">
      <w:pPr>
        <w:widowControl w:val="0"/>
        <w:ind/>
        <w:rPr>
          <w:color w:val="FF0000"/>
          <w:sz w:val="28"/>
        </w:rPr>
      </w:pPr>
      <w:bookmarkStart w:id="1" w:name="P294"/>
      <w:bookmarkEnd w:id="1"/>
    </w:p>
    <w:p w14:paraId="90010000">
      <w:pPr>
        <w:widowControl w:val="0"/>
        <w:ind/>
        <w:jc w:val="right"/>
        <w:rPr>
          <w:color w:val="FF0000"/>
          <w:sz w:val="28"/>
        </w:rPr>
      </w:pPr>
      <w:r>
        <w:rPr>
          <w:color w:val="FF0000"/>
          <w:sz w:val="28"/>
        </w:rPr>
        <w:t>Таблица 1</w:t>
      </w:r>
    </w:p>
    <w:p w14:paraId="91010000">
      <w:pPr>
        <w:widowControl w:val="0"/>
        <w:spacing w:line="240" w:lineRule="exact"/>
        <w:ind/>
        <w:jc w:val="center"/>
        <w:rPr>
          <w:color w:val="FF0000"/>
          <w:sz w:val="28"/>
        </w:rPr>
      </w:pPr>
    </w:p>
    <w:p w14:paraId="92010000">
      <w:pPr>
        <w:widowControl w:val="0"/>
        <w:numPr>
          <w:ilvl w:val="0"/>
          <w:numId w:val="0"/>
        </w:numPr>
        <w:spacing w:line="240" w:lineRule="exact"/>
        <w:ind/>
        <w:jc w:val="center"/>
        <w:outlineLvl w:val="2"/>
        <w:rPr>
          <w:caps w:val="1"/>
          <w:color w:val="FF0000"/>
          <w:sz w:val="28"/>
        </w:rPr>
      </w:pPr>
      <w:r>
        <w:rPr>
          <w:caps w:val="1"/>
          <w:color w:val="FF0000"/>
          <w:sz w:val="28"/>
        </w:rPr>
        <w:t>Сведения</w:t>
      </w:r>
    </w:p>
    <w:p w14:paraId="93010000">
      <w:pPr>
        <w:widowControl w:val="0"/>
        <w:numPr>
          <w:ilvl w:val="0"/>
          <w:numId w:val="0"/>
        </w:numPr>
        <w:spacing w:line="240" w:lineRule="exact"/>
        <w:ind/>
        <w:jc w:val="center"/>
        <w:outlineLvl w:val="2"/>
        <w:rPr>
          <w:caps w:val="1"/>
          <w:color w:val="FF0000"/>
          <w:sz w:val="28"/>
        </w:rPr>
      </w:pPr>
    </w:p>
    <w:p w14:paraId="94010000">
      <w:pPr>
        <w:widowControl w:val="0"/>
        <w:spacing w:line="240" w:lineRule="exact"/>
        <w:ind/>
        <w:jc w:val="center"/>
        <w:rPr>
          <w:color w:val="FF0000"/>
          <w:sz w:val="28"/>
        </w:rPr>
      </w:pPr>
      <w:r>
        <w:rPr>
          <w:color w:val="FF0000"/>
          <w:sz w:val="28"/>
        </w:rPr>
        <w:t>об индикаторах достижения целей муниципальной программы Андроповского муниципального округа</w:t>
      </w:r>
    </w:p>
    <w:p w14:paraId="95010000">
      <w:pPr>
        <w:widowControl w:val="0"/>
        <w:spacing w:line="240" w:lineRule="exact"/>
        <w:ind/>
        <w:jc w:val="center"/>
        <w:rPr>
          <w:color w:val="FF0000"/>
          <w:sz w:val="28"/>
        </w:rPr>
      </w:pPr>
      <w:r>
        <w:rPr>
          <w:color w:val="FF0000"/>
          <w:sz w:val="28"/>
        </w:rPr>
        <w:t>Ставропольского края «Обеспечение безопасности жизнедеятельности</w:t>
      </w:r>
    </w:p>
    <w:p w14:paraId="96010000">
      <w:pPr>
        <w:widowControl w:val="0"/>
        <w:numPr>
          <w:ilvl w:val="0"/>
          <w:numId w:val="0"/>
        </w:numPr>
        <w:spacing w:line="240" w:lineRule="exact"/>
        <w:ind/>
        <w:jc w:val="center"/>
        <w:outlineLvl w:val="2"/>
        <w:rPr>
          <w:color w:val="FF0000"/>
          <w:sz w:val="28"/>
        </w:rPr>
      </w:pPr>
      <w:r>
        <w:rPr>
          <w:color w:val="FF0000"/>
          <w:sz w:val="28"/>
        </w:rPr>
        <w:t>населения» (далее - Программа) и показателях решения задач подпрограмм Программы и их значениях</w:t>
      </w:r>
    </w:p>
    <w:p w14:paraId="97010000">
      <w:pPr>
        <w:widowControl w:val="0"/>
        <w:spacing w:line="240" w:lineRule="exact"/>
        <w:ind/>
        <w:jc w:val="center"/>
        <w:rPr>
          <w:color w:val="FF0000"/>
          <w:sz w:val="28"/>
        </w:rPr>
      </w:pPr>
    </w:p>
    <w:tbl>
      <w:tblPr>
        <w:tblStyle w:val="Style_4"/>
        <w:tblW w:type="auto" w:w="0"/>
        <w:tblInd w:type="dxa" w:w="-318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8"/>
        <w:gridCol w:w="3544"/>
        <w:gridCol w:w="1276"/>
        <w:gridCol w:w="1275"/>
        <w:gridCol w:w="1276"/>
        <w:gridCol w:w="1276"/>
        <w:gridCol w:w="1276"/>
        <w:gridCol w:w="1275"/>
        <w:gridCol w:w="1276"/>
        <w:gridCol w:w="1276"/>
        <w:gridCol w:w="1276"/>
      </w:tblGrid>
      <w:tr>
        <w:tc>
          <w:tcPr>
            <w:tcW w:type="dxa" w:w="56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 xml:space="preserve">№ </w:t>
            </w:r>
            <w:r>
              <w:rPr>
                <w:color w:val="FF0000"/>
                <w:sz w:val="28"/>
              </w:rPr>
              <w:t>п/п</w:t>
            </w:r>
          </w:p>
        </w:tc>
        <w:tc>
          <w:tcPr>
            <w:tcW w:type="dxa" w:w="35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Наименование индикатора достижения цели Программы и показателя решения задачи подпрограммы Программы</w:t>
            </w:r>
          </w:p>
        </w:tc>
        <w:tc>
          <w:tcPr>
            <w:tcW w:type="dxa" w:w="12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Единица измерения</w:t>
            </w:r>
          </w:p>
        </w:tc>
        <w:tc>
          <w:tcPr>
            <w:tcW w:type="dxa" w:w="10206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Значение индикатора достижения цели Программы и показателя решения задачи подпрограммы Программы по годам</w:t>
            </w:r>
          </w:p>
        </w:tc>
      </w:tr>
      <w:tr>
        <w:tc>
          <w:tcPr>
            <w:tcW w:type="dxa" w:w="5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35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2019 год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2020 год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2021 год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2022 год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2023 год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2024 год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2025 год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2026 год</w:t>
            </w:r>
          </w:p>
        </w:tc>
      </w:tr>
    </w:tbl>
    <w:p w14:paraId="A4010000">
      <w:pPr>
        <w:rPr>
          <w:color w:val="FF0000"/>
          <w:sz w:val="5"/>
        </w:rPr>
      </w:pPr>
    </w:p>
    <w:tbl>
      <w:tblPr>
        <w:tblStyle w:val="Style_4"/>
        <w:tblW w:type="auto" w:w="0"/>
        <w:tblInd w:type="dxa" w:w="-318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8"/>
        <w:gridCol w:w="12"/>
        <w:gridCol w:w="3532"/>
        <w:gridCol w:w="1276"/>
        <w:gridCol w:w="1275"/>
        <w:gridCol w:w="1276"/>
        <w:gridCol w:w="1276"/>
        <w:gridCol w:w="1276"/>
        <w:gridCol w:w="1275"/>
        <w:gridCol w:w="1276"/>
        <w:gridCol w:w="1276"/>
        <w:gridCol w:w="1276"/>
      </w:tblGrid>
      <w:tr>
        <w:trPr>
          <w:trHeight w:hRule="atLeast" w:val="293"/>
          <w:tblHeader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1</w:t>
            </w:r>
          </w:p>
        </w:tc>
        <w:tc>
          <w:tcPr>
            <w:tcW w:type="dxa" w:w="354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2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3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4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5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6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7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8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9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10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11</w:t>
            </w:r>
          </w:p>
        </w:tc>
      </w:tr>
      <w:tr>
        <w:tc>
          <w:tcPr>
            <w:tcW w:type="dxa" w:w="15594"/>
            <w:gridSpan w:val="12"/>
            <w:tcBorders>
              <w:top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10000">
            <w:pPr>
              <w:widowControl w:val="0"/>
              <w:ind/>
              <w:jc w:val="center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Цель 1 Программы: создание безопасной среды проживания на территории Андроповского муниципального округа Ставропольского края</w:t>
            </w:r>
          </w:p>
          <w:p w14:paraId="B101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</w:p>
        </w:tc>
      </w:tr>
      <w:tr>
        <w:tc>
          <w:tcPr>
            <w:tcW w:type="dxa" w:w="56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1.</w:t>
            </w:r>
          </w:p>
        </w:tc>
        <w:tc>
          <w:tcPr>
            <w:tcW w:type="dxa" w:w="3544"/>
            <w:gridSpan w:val="2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1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Количество чрезвычайных ситуаций различного характера</w:t>
            </w:r>
          </w:p>
          <w:p w14:paraId="B401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ед.</w:t>
            </w:r>
          </w:p>
        </w:tc>
        <w:tc>
          <w:tcPr>
            <w:tcW w:type="dxa" w:w="127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0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1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0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0</w:t>
            </w:r>
          </w:p>
        </w:tc>
        <w:tc>
          <w:tcPr>
            <w:tcW w:type="dxa" w:w="127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0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0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0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0</w:t>
            </w:r>
          </w:p>
        </w:tc>
      </w:tr>
      <w:tr>
        <w:tc>
          <w:tcPr>
            <w:tcW w:type="dxa" w:w="56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10000">
            <w:pPr>
              <w:widowControl w:val="0"/>
              <w:ind/>
              <w:jc w:val="center"/>
              <w:rPr>
                <w:color w:val="FF0000"/>
                <w:sz w:val="28"/>
              </w:rPr>
            </w:pPr>
          </w:p>
        </w:tc>
        <w:tc>
          <w:tcPr>
            <w:tcW w:type="dxa" w:w="15026"/>
            <w:gridSpan w:val="11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1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Подпрограмма 1 «Снижение рисков и повышение уровня защищенности населения и территорий округа от угроз чрезвычайных ситуаций природного и техногенного характера»</w:t>
            </w:r>
          </w:p>
          <w:p w14:paraId="C001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</w:p>
        </w:tc>
      </w:tr>
      <w:tr>
        <w:tc>
          <w:tcPr>
            <w:tcW w:type="dxa" w:w="56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10000">
            <w:pPr>
              <w:widowControl w:val="0"/>
              <w:ind/>
              <w:jc w:val="center"/>
              <w:rPr>
                <w:color w:val="FF0000"/>
                <w:sz w:val="28"/>
              </w:rPr>
            </w:pPr>
          </w:p>
        </w:tc>
        <w:tc>
          <w:tcPr>
            <w:tcW w:type="dxa" w:w="15026"/>
            <w:gridSpan w:val="11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1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Задача 1 подпрограммы 1 Программы: разработка и осуществление  комплекса превентивных мероприятий, направленных на максимально возможное предотвращение чрезвычайных ситуаций природного и техногенного характера</w:t>
            </w:r>
          </w:p>
          <w:p w14:paraId="C301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</w:p>
        </w:tc>
      </w:tr>
      <w:tr>
        <w:trPr>
          <w:trHeight w:hRule="atLeast" w:val="374"/>
        </w:trPr>
        <w:tc>
          <w:tcPr>
            <w:tcW w:type="dxa" w:w="56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2.</w:t>
            </w:r>
          </w:p>
        </w:tc>
        <w:tc>
          <w:tcPr>
            <w:tcW w:type="dxa" w:w="3544"/>
            <w:gridSpan w:val="2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10000">
            <w:pPr>
              <w:widowControl w:val="0"/>
              <w:numPr>
                <w:ilvl w:val="0"/>
                <w:numId w:val="0"/>
              </w:numPr>
              <w:ind/>
              <w:jc w:val="both"/>
              <w:outlineLvl w:val="2"/>
            </w:pPr>
            <w:r>
              <w:rPr>
                <w:color w:val="FF0000"/>
                <w:sz w:val="28"/>
              </w:rPr>
              <w:t xml:space="preserve">численность погибшего и травмированного населения 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10000">
            <w:pPr>
              <w:widowControl w:val="0"/>
              <w:ind/>
              <w:jc w:val="center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ед.</w:t>
            </w:r>
          </w:p>
          <w:p w14:paraId="C7010000">
            <w:pPr>
              <w:widowControl w:val="0"/>
              <w:ind/>
              <w:jc w:val="center"/>
              <w:rPr>
                <w:color w:val="FF0000"/>
                <w:sz w:val="28"/>
              </w:rPr>
            </w:pPr>
          </w:p>
        </w:tc>
        <w:tc>
          <w:tcPr>
            <w:tcW w:type="dxa" w:w="127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10000">
            <w:pPr>
              <w:widowControl w:val="0"/>
              <w:numPr>
                <w:ilvl w:val="0"/>
                <w:numId w:val="0"/>
              </w:numPr>
              <w:ind/>
              <w:jc w:val="center"/>
              <w:outlineLvl w:val="2"/>
            </w:pPr>
            <w:r>
              <w:rPr>
                <w:color w:val="FF0000"/>
                <w:sz w:val="28"/>
              </w:rPr>
              <w:t>0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0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0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0</w:t>
            </w:r>
          </w:p>
        </w:tc>
        <w:tc>
          <w:tcPr>
            <w:tcW w:type="dxa" w:w="127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10000">
            <w:pPr>
              <w:ind/>
              <w:jc w:val="center"/>
            </w:pPr>
            <w:r>
              <w:rPr>
                <w:color w:val="FF0000"/>
                <w:sz w:val="28"/>
              </w:rPr>
              <w:t>0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10000">
            <w:pPr>
              <w:ind/>
              <w:jc w:val="center"/>
            </w:pPr>
            <w:r>
              <w:rPr>
                <w:color w:val="FF0000"/>
                <w:sz w:val="28"/>
              </w:rPr>
              <w:t>0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10000">
            <w:pPr>
              <w:ind/>
              <w:jc w:val="center"/>
            </w:pPr>
            <w:r>
              <w:rPr>
                <w:color w:val="FF0000"/>
                <w:sz w:val="28"/>
              </w:rPr>
              <w:t>0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10000">
            <w:pPr>
              <w:ind/>
              <w:jc w:val="center"/>
            </w:pPr>
            <w:r>
              <w:rPr>
                <w:color w:val="FF0000"/>
                <w:sz w:val="28"/>
              </w:rPr>
              <w:t>0</w:t>
            </w:r>
          </w:p>
        </w:tc>
      </w:tr>
      <w:tr>
        <w:tc>
          <w:tcPr>
            <w:tcW w:type="dxa" w:w="56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10000">
            <w:pPr>
              <w:widowControl w:val="0"/>
              <w:ind/>
              <w:jc w:val="center"/>
              <w:rPr>
                <w:color w:val="FF0000"/>
                <w:sz w:val="28"/>
              </w:rPr>
            </w:pPr>
          </w:p>
        </w:tc>
        <w:tc>
          <w:tcPr>
            <w:tcW w:type="dxa" w:w="15026"/>
            <w:gridSpan w:val="11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10000">
            <w:pPr>
              <w:ind/>
              <w:jc w:val="both"/>
            </w:pPr>
            <w:r>
              <w:rPr>
                <w:color w:val="FF0000"/>
                <w:sz w:val="28"/>
              </w:rPr>
              <w:t>Задача 2 подпрограммы 1 Программы: разработка и осуществление  комплекса превентивных мероприятий, направленных на повышение готовности, расширение возможности (спектра применения) аварийно- спасательных сил и развитие единой дежурно - диспетчерской службы и Системы обеспечения вызова экстренных оперативных служб по единому номеру «112»</w:t>
            </w:r>
          </w:p>
        </w:tc>
      </w:tr>
      <w:tr>
        <w:tc>
          <w:tcPr>
            <w:tcW w:type="dxa" w:w="56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3.</w:t>
            </w:r>
          </w:p>
        </w:tc>
        <w:tc>
          <w:tcPr>
            <w:tcW w:type="dxa" w:w="3544"/>
            <w:gridSpan w:val="2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10000">
            <w:pPr>
              <w:widowControl w:val="0"/>
              <w:numPr>
                <w:ilvl w:val="0"/>
                <w:numId w:val="0"/>
              </w:numPr>
              <w:ind/>
              <w:jc w:val="both"/>
              <w:outlineLvl w:val="2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время прибытия аварийно-спасательного подразделения к месту чрезвычайной ситуации</w:t>
            </w:r>
          </w:p>
          <w:p w14:paraId="D4010000">
            <w:pPr>
              <w:widowControl w:val="0"/>
              <w:numPr>
                <w:ilvl w:val="0"/>
                <w:numId w:val="0"/>
              </w:numPr>
              <w:ind/>
              <w:jc w:val="both"/>
              <w:outlineLvl w:val="2"/>
              <w:rPr>
                <w:color w:val="FF0000"/>
                <w:sz w:val="28"/>
              </w:rPr>
            </w:pP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10000">
            <w:pPr>
              <w:widowControl w:val="0"/>
              <w:numPr>
                <w:ilvl w:val="0"/>
                <w:numId w:val="0"/>
              </w:numPr>
              <w:ind/>
              <w:jc w:val="center"/>
              <w:outlineLvl w:val="2"/>
            </w:pPr>
            <w:r>
              <w:rPr>
                <w:color w:val="FF0000"/>
                <w:sz w:val="28"/>
              </w:rPr>
              <w:t>мин.</w:t>
            </w:r>
          </w:p>
        </w:tc>
        <w:tc>
          <w:tcPr>
            <w:tcW w:type="dxa" w:w="127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10000">
            <w:pPr>
              <w:widowControl w:val="0"/>
              <w:numPr>
                <w:ilvl w:val="0"/>
                <w:numId w:val="0"/>
              </w:numPr>
              <w:ind/>
              <w:jc w:val="center"/>
              <w:outlineLvl w:val="2"/>
            </w:pPr>
            <w:r>
              <w:rPr>
                <w:color w:val="FF0000"/>
                <w:sz w:val="28"/>
              </w:rPr>
              <w:t>30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30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30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30</w:t>
            </w:r>
          </w:p>
        </w:tc>
        <w:tc>
          <w:tcPr>
            <w:tcW w:type="dxa" w:w="127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30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30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≤</w:t>
            </w:r>
            <w:r>
              <w:rPr>
                <w:color w:val="FF0000"/>
                <w:sz w:val="28"/>
              </w:rPr>
              <w:t>28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≤</w:t>
            </w:r>
            <w:r>
              <w:rPr>
                <w:color w:val="FF0000"/>
                <w:sz w:val="28"/>
              </w:rPr>
              <w:t>28</w:t>
            </w:r>
          </w:p>
        </w:tc>
      </w:tr>
      <w:tr>
        <w:tc>
          <w:tcPr>
            <w:tcW w:type="dxa" w:w="56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4.</w:t>
            </w:r>
          </w:p>
        </w:tc>
        <w:tc>
          <w:tcPr>
            <w:tcW w:type="dxa" w:w="3544"/>
            <w:gridSpan w:val="2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10000">
            <w:pPr>
              <w:widowControl w:val="0"/>
              <w:numPr>
                <w:ilvl w:val="0"/>
                <w:numId w:val="0"/>
              </w:numPr>
              <w:ind/>
              <w:jc w:val="both"/>
              <w:outlineLvl w:val="2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доля персонала аварийно-спасательного подразделения категории «спасатель»</w:t>
            </w:r>
          </w:p>
          <w:p w14:paraId="E0010000">
            <w:pPr>
              <w:widowControl w:val="0"/>
              <w:numPr>
                <w:ilvl w:val="0"/>
                <w:numId w:val="0"/>
              </w:numPr>
              <w:ind/>
              <w:jc w:val="both"/>
              <w:outlineLvl w:val="2"/>
              <w:rPr>
                <w:color w:val="FF0000"/>
                <w:sz w:val="28"/>
              </w:rPr>
            </w:pP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%</w:t>
            </w:r>
          </w:p>
        </w:tc>
        <w:tc>
          <w:tcPr>
            <w:tcW w:type="dxa" w:w="127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100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100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100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100</w:t>
            </w:r>
          </w:p>
        </w:tc>
        <w:tc>
          <w:tcPr>
            <w:tcW w:type="dxa" w:w="127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100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100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100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100</w:t>
            </w:r>
          </w:p>
        </w:tc>
      </w:tr>
      <w:tr>
        <w:tc>
          <w:tcPr>
            <w:tcW w:type="dxa" w:w="56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5.</w:t>
            </w:r>
          </w:p>
        </w:tc>
        <w:tc>
          <w:tcPr>
            <w:tcW w:type="dxa" w:w="3544"/>
            <w:gridSpan w:val="2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10000">
            <w:pPr>
              <w:widowControl w:val="0"/>
              <w:numPr>
                <w:ilvl w:val="0"/>
                <w:numId w:val="0"/>
              </w:numPr>
              <w:ind/>
              <w:jc w:val="both"/>
              <w:outlineLvl w:val="2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среднее время дозвона до единой дежурно-диспетчерской службы</w:t>
            </w:r>
          </w:p>
          <w:p w14:paraId="EC010000">
            <w:pPr>
              <w:widowControl w:val="0"/>
              <w:numPr>
                <w:ilvl w:val="0"/>
                <w:numId w:val="0"/>
              </w:numPr>
              <w:ind/>
              <w:jc w:val="both"/>
              <w:outlineLvl w:val="2"/>
              <w:rPr>
                <w:color w:val="FF0000"/>
                <w:sz w:val="28"/>
              </w:rPr>
            </w:pP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10000">
            <w:pPr>
              <w:widowControl w:val="0"/>
              <w:numPr>
                <w:ilvl w:val="0"/>
                <w:numId w:val="0"/>
              </w:numPr>
              <w:ind/>
              <w:jc w:val="center"/>
              <w:outlineLvl w:val="2"/>
            </w:pPr>
            <w:r>
              <w:rPr>
                <w:color w:val="FF0000"/>
                <w:sz w:val="28"/>
              </w:rPr>
              <w:t>мин.</w:t>
            </w:r>
          </w:p>
        </w:tc>
        <w:tc>
          <w:tcPr>
            <w:tcW w:type="dxa" w:w="127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0,66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0,66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≤</w:t>
            </w:r>
            <w:r>
              <w:rPr>
                <w:color w:val="FF0000"/>
                <w:sz w:val="28"/>
              </w:rPr>
              <w:t>0,6</w:t>
            </w:r>
            <w:r>
              <w:rPr>
                <w:color w:val="FF0000"/>
                <w:sz w:val="28"/>
              </w:rPr>
              <w:t>4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≤</w:t>
            </w:r>
            <w:r>
              <w:rPr>
                <w:color w:val="FF0000"/>
                <w:sz w:val="28"/>
              </w:rPr>
              <w:t>0</w:t>
            </w:r>
            <w:r>
              <w:rPr>
                <w:color w:val="FF0000"/>
                <w:sz w:val="28"/>
              </w:rPr>
              <w:t>,</w:t>
            </w:r>
            <w:r>
              <w:rPr>
                <w:color w:val="FF0000"/>
                <w:sz w:val="28"/>
              </w:rPr>
              <w:t>6</w:t>
            </w:r>
            <w:r>
              <w:rPr>
                <w:color w:val="FF0000"/>
                <w:sz w:val="28"/>
              </w:rPr>
              <w:t>2</w:t>
            </w:r>
          </w:p>
        </w:tc>
        <w:tc>
          <w:tcPr>
            <w:tcW w:type="dxa" w:w="127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≤</w:t>
            </w:r>
            <w:r>
              <w:rPr>
                <w:color w:val="FF0000"/>
                <w:sz w:val="28"/>
              </w:rPr>
              <w:t>0</w:t>
            </w:r>
            <w:r>
              <w:rPr>
                <w:color w:val="FF0000"/>
                <w:sz w:val="28"/>
              </w:rPr>
              <w:t>,</w:t>
            </w:r>
            <w:r>
              <w:rPr>
                <w:color w:val="FF0000"/>
                <w:sz w:val="28"/>
              </w:rPr>
              <w:t>6</w:t>
            </w:r>
            <w:r>
              <w:rPr>
                <w:color w:val="FF0000"/>
                <w:sz w:val="28"/>
              </w:rPr>
              <w:t>0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≤</w:t>
            </w:r>
            <w:r>
              <w:rPr>
                <w:color w:val="FF0000"/>
                <w:sz w:val="28"/>
              </w:rPr>
              <w:t>0</w:t>
            </w:r>
            <w:r>
              <w:rPr>
                <w:color w:val="FF0000"/>
                <w:sz w:val="28"/>
              </w:rPr>
              <w:t>,</w:t>
            </w:r>
            <w:r>
              <w:rPr>
                <w:color w:val="FF0000"/>
                <w:sz w:val="28"/>
              </w:rPr>
              <w:t>6</w:t>
            </w:r>
            <w:r>
              <w:rPr>
                <w:color w:val="FF0000"/>
                <w:sz w:val="28"/>
              </w:rPr>
              <w:t>0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≤</w:t>
            </w:r>
            <w:r>
              <w:rPr>
                <w:color w:val="FF0000"/>
                <w:sz w:val="28"/>
              </w:rPr>
              <w:t>0</w:t>
            </w:r>
            <w:r>
              <w:rPr>
                <w:color w:val="FF0000"/>
                <w:sz w:val="28"/>
              </w:rPr>
              <w:t>,</w:t>
            </w:r>
            <w:r>
              <w:rPr>
                <w:color w:val="FF0000"/>
                <w:sz w:val="28"/>
              </w:rPr>
              <w:t>6</w:t>
            </w:r>
            <w:r>
              <w:rPr>
                <w:color w:val="FF0000"/>
                <w:sz w:val="28"/>
              </w:rPr>
              <w:t>0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≤</w:t>
            </w:r>
            <w:r>
              <w:rPr>
                <w:color w:val="FF0000"/>
                <w:sz w:val="28"/>
              </w:rPr>
              <w:t>0</w:t>
            </w:r>
            <w:r>
              <w:rPr>
                <w:color w:val="FF0000"/>
                <w:sz w:val="28"/>
              </w:rPr>
              <w:t>,</w:t>
            </w:r>
            <w:r>
              <w:rPr>
                <w:color w:val="FF0000"/>
                <w:sz w:val="28"/>
              </w:rPr>
              <w:t>6</w:t>
            </w:r>
            <w:r>
              <w:rPr>
                <w:color w:val="FF0000"/>
                <w:sz w:val="28"/>
              </w:rPr>
              <w:t>0</w:t>
            </w:r>
          </w:p>
        </w:tc>
      </w:tr>
      <w:tr>
        <w:tc>
          <w:tcPr>
            <w:tcW w:type="dxa" w:w="580"/>
            <w:gridSpan w:val="2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10000">
            <w:pPr>
              <w:widowControl w:val="0"/>
              <w:ind/>
              <w:jc w:val="center"/>
              <w:rPr>
                <w:color w:val="FF0000"/>
                <w:sz w:val="28"/>
              </w:rPr>
            </w:pPr>
          </w:p>
        </w:tc>
        <w:tc>
          <w:tcPr>
            <w:tcW w:type="dxa" w:w="15014"/>
            <w:gridSpan w:val="10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10000">
            <w:pPr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Подпрограмма 2 «</w:t>
            </w:r>
            <w:r>
              <w:rPr>
                <w:color w:val="FF0000"/>
                <w:sz w:val="28"/>
              </w:rPr>
              <w:t xml:space="preserve">Система комплексного обеспечения безопасности жизнедеятельности, профилактика </w:t>
            </w:r>
          </w:p>
          <w:p w14:paraId="F8010000">
            <w:pPr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терроризма и экстремизма»</w:t>
            </w:r>
          </w:p>
          <w:p w14:paraId="F9010000">
            <w:pPr>
              <w:ind/>
              <w:jc w:val="both"/>
              <w:rPr>
                <w:color w:val="FF0000"/>
                <w:sz w:val="28"/>
              </w:rPr>
            </w:pPr>
          </w:p>
        </w:tc>
      </w:tr>
      <w:tr>
        <w:tc>
          <w:tcPr>
            <w:tcW w:type="dxa" w:w="580"/>
            <w:gridSpan w:val="2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10000">
            <w:pPr>
              <w:widowControl w:val="0"/>
              <w:ind/>
              <w:jc w:val="center"/>
              <w:rPr>
                <w:color w:val="FF0000"/>
                <w:sz w:val="28"/>
              </w:rPr>
            </w:pPr>
          </w:p>
        </w:tc>
        <w:tc>
          <w:tcPr>
            <w:tcW w:type="dxa" w:w="15014"/>
            <w:gridSpan w:val="10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10000">
            <w:pPr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Задача 1 подпрограммы 2 Программы: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  <w:sz w:val="28"/>
              </w:rPr>
              <w:t>развитие и обеспечение функционирования системы комплексного обеспечения безопасности жизнедеятельности Андроповского муниципального округа на основе внедрения информационно-коммуникационных технологий</w:t>
            </w:r>
          </w:p>
          <w:p w14:paraId="FC010000">
            <w:pPr>
              <w:ind/>
              <w:jc w:val="both"/>
              <w:rPr>
                <w:color w:val="FF0000"/>
                <w:sz w:val="28"/>
              </w:rPr>
            </w:pPr>
          </w:p>
        </w:tc>
      </w:tr>
      <w:tr>
        <w:tc>
          <w:tcPr>
            <w:tcW w:type="dxa" w:w="56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1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6.</w:t>
            </w:r>
          </w:p>
        </w:tc>
        <w:tc>
          <w:tcPr>
            <w:tcW w:type="dxa" w:w="3544"/>
            <w:gridSpan w:val="2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10000">
            <w:pPr>
              <w:widowControl w:val="0"/>
              <w:numPr>
                <w:ilvl w:val="0"/>
                <w:numId w:val="0"/>
              </w:numPr>
              <w:ind/>
              <w:jc w:val="both"/>
              <w:outlineLvl w:val="2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 xml:space="preserve">обеспечение функционирования камер видеонаблюдения в муниципальных учреждениях </w:t>
            </w:r>
          </w:p>
          <w:p w14:paraId="FF010000">
            <w:pPr>
              <w:widowControl w:val="0"/>
              <w:numPr>
                <w:ilvl w:val="0"/>
                <w:numId w:val="0"/>
              </w:numPr>
              <w:ind/>
              <w:jc w:val="both"/>
              <w:outlineLvl w:val="2"/>
              <w:rPr>
                <w:color w:val="FF0000"/>
                <w:sz w:val="28"/>
              </w:rPr>
            </w:pP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2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%</w:t>
            </w:r>
          </w:p>
        </w:tc>
        <w:tc>
          <w:tcPr>
            <w:tcW w:type="dxa" w:w="127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20000">
            <w:pPr>
              <w:widowControl w:val="0"/>
              <w:numPr>
                <w:ilvl w:val="0"/>
                <w:numId w:val="0"/>
              </w:numPr>
              <w:ind/>
              <w:jc w:val="center"/>
              <w:outlineLvl w:val="2"/>
            </w:pPr>
            <w:r>
              <w:rPr>
                <w:color w:val="FF0000"/>
                <w:sz w:val="28"/>
              </w:rPr>
              <w:t>98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20000">
            <w:pPr>
              <w:widowControl w:val="0"/>
              <w:numPr>
                <w:ilvl w:val="0"/>
                <w:numId w:val="0"/>
              </w:numPr>
              <w:ind/>
              <w:jc w:val="center"/>
              <w:outlineLvl w:val="2"/>
            </w:pPr>
            <w:r>
              <w:rPr>
                <w:color w:val="FF0000"/>
                <w:sz w:val="28"/>
              </w:rPr>
              <w:t>98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20000">
            <w:pPr>
              <w:widowControl w:val="0"/>
              <w:numPr>
                <w:ilvl w:val="0"/>
                <w:numId w:val="0"/>
              </w:numPr>
              <w:ind/>
              <w:jc w:val="center"/>
              <w:outlineLvl w:val="2"/>
            </w:pPr>
            <w:r>
              <w:rPr>
                <w:color w:val="FF0000"/>
                <w:sz w:val="28"/>
              </w:rPr>
              <w:t>99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20000">
            <w:pPr>
              <w:widowControl w:val="0"/>
              <w:numPr>
                <w:ilvl w:val="0"/>
                <w:numId w:val="0"/>
              </w:numPr>
              <w:ind/>
              <w:jc w:val="center"/>
              <w:outlineLvl w:val="2"/>
            </w:pPr>
            <w:r>
              <w:rPr>
                <w:color w:val="FF0000"/>
                <w:sz w:val="28"/>
              </w:rPr>
              <w:t>100</w:t>
            </w:r>
          </w:p>
        </w:tc>
        <w:tc>
          <w:tcPr>
            <w:tcW w:type="dxa" w:w="127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2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100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2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100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2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100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2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100</w:t>
            </w:r>
          </w:p>
        </w:tc>
      </w:tr>
      <w:tr>
        <w:tc>
          <w:tcPr>
            <w:tcW w:type="dxa" w:w="56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2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7.</w:t>
            </w:r>
          </w:p>
        </w:tc>
        <w:tc>
          <w:tcPr>
            <w:tcW w:type="dxa" w:w="3544"/>
            <w:gridSpan w:val="2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20000">
            <w:pPr>
              <w:widowControl w:val="0"/>
              <w:ind/>
              <w:jc w:val="both"/>
            </w:pPr>
            <w:r>
              <w:rPr>
                <w:color w:val="FF0000"/>
                <w:sz w:val="28"/>
              </w:rPr>
              <w:t xml:space="preserve">количество мероприятий, направленных на противодействие идеологии терроризма и экстремизма, проводимых ежегодно с учащейся молодежью Андроповского муниципального округа 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2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ед.</w:t>
            </w:r>
          </w:p>
        </w:tc>
        <w:tc>
          <w:tcPr>
            <w:tcW w:type="dxa" w:w="127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20000">
            <w:pPr>
              <w:widowControl w:val="0"/>
              <w:numPr>
                <w:ilvl w:val="0"/>
                <w:numId w:val="0"/>
              </w:numPr>
              <w:ind/>
              <w:jc w:val="center"/>
              <w:outlineLvl w:val="2"/>
            </w:pPr>
            <w:r>
              <w:rPr>
                <w:color w:val="FF0000"/>
                <w:sz w:val="28"/>
              </w:rPr>
              <w:t>0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20000">
            <w:pPr>
              <w:widowControl w:val="0"/>
              <w:numPr>
                <w:ilvl w:val="0"/>
                <w:numId w:val="0"/>
              </w:numPr>
              <w:ind/>
              <w:jc w:val="center"/>
              <w:outlineLvl w:val="2"/>
            </w:pPr>
            <w:r>
              <w:rPr>
                <w:color w:val="FF0000"/>
                <w:sz w:val="28"/>
              </w:rPr>
              <w:t>0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20000">
            <w:pPr>
              <w:widowControl w:val="0"/>
              <w:numPr>
                <w:ilvl w:val="0"/>
                <w:numId w:val="0"/>
              </w:numPr>
              <w:ind/>
              <w:jc w:val="center"/>
              <w:outlineLvl w:val="2"/>
            </w:pPr>
            <w:r>
              <w:rPr>
                <w:color w:val="FF0000"/>
                <w:sz w:val="28"/>
              </w:rPr>
              <w:t>1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20000">
            <w:pPr>
              <w:widowControl w:val="0"/>
              <w:numPr>
                <w:ilvl w:val="0"/>
                <w:numId w:val="0"/>
              </w:numPr>
              <w:ind/>
              <w:jc w:val="center"/>
              <w:outlineLvl w:val="2"/>
            </w:pPr>
            <w:r>
              <w:rPr>
                <w:color w:val="FF0000"/>
                <w:sz w:val="28"/>
              </w:rPr>
              <w:t>2</w:t>
            </w:r>
          </w:p>
        </w:tc>
        <w:tc>
          <w:tcPr>
            <w:tcW w:type="dxa" w:w="127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2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2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2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2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20000">
            <w:pPr>
              <w:ind/>
              <w:jc w:val="center"/>
            </w:pPr>
            <w:r>
              <w:rPr>
                <w:color w:val="FF0000"/>
                <w:sz w:val="28"/>
              </w:rPr>
              <w:t>не менее 3</w:t>
            </w:r>
          </w:p>
        </w:tc>
        <w:tc>
          <w:tcPr>
            <w:tcW w:type="dxa" w:w="12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20000">
            <w:pPr>
              <w:ind/>
              <w:jc w:val="center"/>
            </w:pPr>
            <w:r>
              <w:rPr>
                <w:color w:val="FF0000"/>
                <w:sz w:val="28"/>
              </w:rPr>
              <w:t>не менее 3</w:t>
            </w:r>
          </w:p>
        </w:tc>
      </w:tr>
    </w:tbl>
    <w:p w14:paraId="14020000">
      <w:pPr>
        <w:numPr>
          <w:ilvl w:val="0"/>
          <w:numId w:val="0"/>
        </w:numPr>
        <w:ind/>
        <w:outlineLvl w:val="2"/>
        <w:rPr>
          <w:color w:val="FF0000"/>
          <w:sz w:val="28"/>
        </w:rPr>
      </w:pPr>
    </w:p>
    <w:p w14:paraId="15020000">
      <w:pPr>
        <w:numPr>
          <w:ilvl w:val="0"/>
          <w:numId w:val="0"/>
        </w:numPr>
        <w:ind/>
        <w:outlineLvl w:val="2"/>
        <w:rPr>
          <w:color w:val="FF0000"/>
          <w:sz w:val="28"/>
        </w:rPr>
      </w:pPr>
    </w:p>
    <w:p w14:paraId="16020000">
      <w:pPr>
        <w:pageBreakBefore w:val="1"/>
        <w:widowControl w:val="0"/>
        <w:numPr>
          <w:ilvl w:val="0"/>
          <w:numId w:val="0"/>
        </w:numPr>
        <w:spacing w:line="240" w:lineRule="exact"/>
        <w:ind w:firstLine="0" w:left="9204" w:right="0"/>
        <w:jc w:val="center"/>
        <w:outlineLvl w:val="2"/>
        <w:rPr>
          <w:color w:val="FF0000"/>
          <w:sz w:val="28"/>
        </w:rPr>
      </w:pPr>
      <w:r>
        <w:rPr>
          <w:color w:val="FF0000"/>
          <w:sz w:val="28"/>
        </w:rPr>
        <w:t>Приложение 3</w:t>
      </w:r>
    </w:p>
    <w:p w14:paraId="17020000">
      <w:pPr>
        <w:widowControl w:val="0"/>
        <w:spacing w:line="240" w:lineRule="exact"/>
        <w:ind w:firstLine="0" w:left="9204" w:right="0"/>
        <w:jc w:val="center"/>
        <w:rPr>
          <w:color w:val="FF0000"/>
          <w:sz w:val="28"/>
        </w:rPr>
      </w:pPr>
    </w:p>
    <w:p w14:paraId="18020000">
      <w:pPr>
        <w:widowControl w:val="0"/>
        <w:spacing w:line="240" w:lineRule="exact"/>
        <w:ind w:firstLine="0" w:left="9204" w:right="0"/>
        <w:jc w:val="center"/>
        <w:rPr>
          <w:color w:val="FF0000"/>
          <w:sz w:val="28"/>
        </w:rPr>
      </w:pPr>
      <w:r>
        <w:rPr>
          <w:color w:val="FF0000"/>
          <w:sz w:val="28"/>
        </w:rPr>
        <w:t>к муниципальной программе</w:t>
      </w:r>
    </w:p>
    <w:p w14:paraId="19020000">
      <w:pPr>
        <w:widowControl w:val="0"/>
        <w:spacing w:line="240" w:lineRule="exact"/>
        <w:ind w:firstLine="0" w:left="9204" w:right="0"/>
        <w:jc w:val="center"/>
        <w:rPr>
          <w:color w:val="FF0000"/>
          <w:sz w:val="28"/>
        </w:rPr>
      </w:pPr>
      <w:r>
        <w:rPr>
          <w:color w:val="FF0000"/>
          <w:sz w:val="28"/>
        </w:rPr>
        <w:t>Андроповского муниципального округа Ставропольского края «Обеспечение</w:t>
      </w:r>
    </w:p>
    <w:p w14:paraId="1A020000">
      <w:pPr>
        <w:widowControl w:val="0"/>
        <w:spacing w:line="240" w:lineRule="exact"/>
        <w:ind w:firstLine="0" w:left="9204" w:right="0"/>
        <w:jc w:val="center"/>
        <w:rPr>
          <w:color w:val="FF0000"/>
          <w:sz w:val="28"/>
        </w:rPr>
      </w:pPr>
      <w:r>
        <w:rPr>
          <w:color w:val="FF0000"/>
          <w:sz w:val="28"/>
        </w:rPr>
        <w:t>безопасности жизнедеятельности</w:t>
      </w:r>
    </w:p>
    <w:p w14:paraId="1B020000">
      <w:pPr>
        <w:widowControl w:val="0"/>
        <w:spacing w:line="240" w:lineRule="exact"/>
        <w:ind w:firstLine="0" w:left="9204" w:right="0"/>
        <w:jc w:val="center"/>
        <w:rPr>
          <w:color w:val="FF0000"/>
          <w:sz w:val="28"/>
        </w:rPr>
      </w:pPr>
      <w:r>
        <w:rPr>
          <w:color w:val="FF0000"/>
          <w:sz w:val="28"/>
        </w:rPr>
        <w:t>населения»</w:t>
      </w:r>
    </w:p>
    <w:p w14:paraId="1C020000">
      <w:pPr>
        <w:widowControl w:val="0"/>
        <w:ind/>
        <w:jc w:val="right"/>
        <w:rPr>
          <w:color w:val="FF0000"/>
          <w:sz w:val="28"/>
        </w:rPr>
      </w:pPr>
    </w:p>
    <w:p w14:paraId="1D020000">
      <w:pPr>
        <w:widowControl w:val="0"/>
        <w:ind w:firstLine="0" w:left="12744" w:right="0"/>
        <w:jc w:val="right"/>
        <w:rPr>
          <w:color w:val="FF0000"/>
          <w:sz w:val="28"/>
        </w:rPr>
      </w:pPr>
      <w:r>
        <w:rPr>
          <w:color w:val="FF0000"/>
          <w:sz w:val="28"/>
        </w:rPr>
        <w:t>Таблица 2</w:t>
      </w:r>
    </w:p>
    <w:p w14:paraId="1E020000">
      <w:pPr>
        <w:widowControl w:val="0"/>
        <w:ind w:firstLine="0" w:left="12744" w:right="0"/>
        <w:jc w:val="center"/>
        <w:rPr>
          <w:color w:val="FF0000"/>
          <w:sz w:val="28"/>
        </w:rPr>
      </w:pPr>
    </w:p>
    <w:p w14:paraId="1F020000">
      <w:pPr>
        <w:widowControl w:val="0"/>
        <w:ind/>
        <w:jc w:val="center"/>
        <w:rPr>
          <w:color w:val="FF0000"/>
          <w:sz w:val="28"/>
        </w:rPr>
      </w:pPr>
      <w:bookmarkStart w:id="2" w:name="P400"/>
      <w:bookmarkEnd w:id="2"/>
      <w:r>
        <w:rPr>
          <w:color w:val="FF0000"/>
          <w:sz w:val="28"/>
        </w:rPr>
        <w:t>ПЕРЕЧЕНЬ</w:t>
      </w:r>
    </w:p>
    <w:p w14:paraId="20020000">
      <w:pPr>
        <w:widowControl w:val="0"/>
        <w:ind/>
        <w:jc w:val="center"/>
        <w:rPr>
          <w:color w:val="FF0000"/>
          <w:sz w:val="28"/>
        </w:rPr>
      </w:pPr>
    </w:p>
    <w:p w14:paraId="21020000">
      <w:pPr>
        <w:widowControl w:val="0"/>
        <w:ind/>
        <w:jc w:val="center"/>
        <w:rPr>
          <w:color w:val="FF0000"/>
          <w:sz w:val="28"/>
        </w:rPr>
      </w:pPr>
      <w:r>
        <w:rPr>
          <w:color w:val="FF0000"/>
          <w:sz w:val="28"/>
        </w:rPr>
        <w:t xml:space="preserve">основных мероприятий подпрограмм </w:t>
      </w:r>
      <w:r>
        <w:rPr>
          <w:color w:val="FF0000"/>
          <w:sz w:val="28"/>
        </w:rPr>
        <w:t xml:space="preserve">муниципальной программы Андроповского муниципального округа </w:t>
      </w:r>
    </w:p>
    <w:p w14:paraId="22020000">
      <w:pPr>
        <w:widowControl w:val="0"/>
        <w:ind/>
        <w:jc w:val="center"/>
        <w:rPr>
          <w:color w:val="FF0000"/>
          <w:sz w:val="28"/>
        </w:rPr>
      </w:pPr>
      <w:r>
        <w:rPr>
          <w:color w:val="FF0000"/>
          <w:sz w:val="28"/>
        </w:rPr>
        <w:t>Ставропольского края «Обеспечение безопасности жизнедеятельности населения»</w:t>
      </w:r>
      <w:r>
        <w:rPr>
          <w:color w:val="FF0000"/>
          <w:sz w:val="28"/>
        </w:rPr>
        <w:t xml:space="preserve"> </w:t>
      </w:r>
    </w:p>
    <w:p w14:paraId="23020000">
      <w:pPr>
        <w:widowControl w:val="0"/>
        <w:ind/>
        <w:jc w:val="center"/>
        <w:rPr>
          <w:color w:val="FF0000"/>
          <w:sz w:val="28"/>
        </w:rPr>
      </w:pPr>
      <w:r>
        <w:rPr>
          <w:color w:val="FF0000"/>
          <w:sz w:val="28"/>
        </w:rPr>
        <w:t>(далее - Программа)</w:t>
      </w:r>
    </w:p>
    <w:p w14:paraId="24020000">
      <w:pPr>
        <w:widowControl w:val="0"/>
        <w:spacing w:line="240" w:lineRule="exact"/>
        <w:ind/>
        <w:jc w:val="center"/>
        <w:rPr>
          <w:color w:val="FF0000"/>
          <w:sz w:val="28"/>
        </w:rPr>
      </w:pPr>
    </w:p>
    <w:tbl>
      <w:tblPr>
        <w:tblStyle w:val="Style_4"/>
        <w:tblW w:type="auto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101"/>
        <w:gridCol w:w="3685"/>
        <w:gridCol w:w="1701"/>
        <w:gridCol w:w="2835"/>
        <w:gridCol w:w="1418"/>
        <w:gridCol w:w="1417"/>
        <w:gridCol w:w="2552"/>
      </w:tblGrid>
      <w:tr>
        <w:tc>
          <w:tcPr>
            <w:tcW w:type="dxa" w:w="11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20000">
            <w:pPr>
              <w:widowControl w:val="0"/>
              <w:ind/>
              <w:jc w:val="center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№</w:t>
            </w:r>
          </w:p>
          <w:p w14:paraId="2602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п/п</w:t>
            </w:r>
          </w:p>
        </w:tc>
        <w:tc>
          <w:tcPr>
            <w:tcW w:type="dxa" w:w="368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2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Наименование подпрограммы Программы, основного мероприятия подпрограммы Программы</w:t>
            </w:r>
          </w:p>
        </w:tc>
        <w:tc>
          <w:tcPr>
            <w:tcW w:type="dxa" w:w="1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2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 xml:space="preserve">Тип основного мероприятия </w:t>
            </w:r>
          </w:p>
        </w:tc>
        <w:tc>
          <w:tcPr>
            <w:tcW w:type="dxa" w:w="283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2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Ответственный исполнитель (соисполнитель, участник) основного мероприятия подпрограммы Программы</w:t>
            </w:r>
          </w:p>
        </w:tc>
        <w:tc>
          <w:tcPr>
            <w:tcW w:type="dxa" w:w="283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2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Срок</w:t>
            </w:r>
          </w:p>
        </w:tc>
        <w:tc>
          <w:tcPr>
            <w:tcW w:type="dxa" w:w="255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2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Связь с индикаторами достижения целей Программы и показателями решения задач подпрограммы Программы</w:t>
            </w:r>
          </w:p>
        </w:tc>
      </w:tr>
      <w:tr>
        <w:tc>
          <w:tcPr>
            <w:tcW w:type="dxa" w:w="11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368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1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2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начала реализации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2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окончания реализации</w:t>
            </w:r>
          </w:p>
        </w:tc>
        <w:tc>
          <w:tcPr>
            <w:tcW w:type="dxa" w:w="255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</w:tr>
    </w:tbl>
    <w:p w14:paraId="2E020000">
      <w:pPr>
        <w:rPr>
          <w:color w:val="FF0000"/>
          <w:sz w:val="5"/>
        </w:rPr>
      </w:pPr>
    </w:p>
    <w:tbl>
      <w:tblPr>
        <w:tblStyle w:val="Style_4"/>
        <w:tblW w:type="auto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094"/>
        <w:gridCol w:w="3672"/>
        <w:gridCol w:w="1692"/>
        <w:gridCol w:w="2819"/>
        <w:gridCol w:w="1411"/>
        <w:gridCol w:w="1409"/>
        <w:gridCol w:w="2541"/>
      </w:tblGrid>
      <w:tr>
        <w:trPr>
          <w:tblHeader/>
        </w:trPr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2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1</w:t>
            </w:r>
          </w:p>
        </w:tc>
        <w:tc>
          <w:tcPr>
            <w:tcW w:type="dxa" w:w="36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2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2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2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3</w:t>
            </w:r>
          </w:p>
        </w:tc>
        <w:tc>
          <w:tcPr>
            <w:tcW w:type="dxa" w:w="2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2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4</w:t>
            </w:r>
          </w:p>
        </w:tc>
        <w:tc>
          <w:tcPr>
            <w:tcW w:type="dxa" w:w="14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2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5</w:t>
            </w:r>
          </w:p>
        </w:tc>
        <w:tc>
          <w:tcPr>
            <w:tcW w:type="dxa" w:w="1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2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6</w:t>
            </w:r>
          </w:p>
        </w:tc>
        <w:tc>
          <w:tcPr>
            <w:tcW w:type="dxa" w:w="25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20000">
            <w:pPr>
              <w:widowControl w:val="0"/>
              <w:ind/>
              <w:jc w:val="center"/>
            </w:pPr>
            <w:r>
              <w:rPr>
                <w:color w:val="FF0000"/>
                <w:sz w:val="28"/>
              </w:rPr>
              <w:t>7</w:t>
            </w:r>
          </w:p>
        </w:tc>
      </w:tr>
      <w:tr>
        <w:tc>
          <w:tcPr>
            <w:tcW w:type="dxa" w:w="1094"/>
            <w:tcBorders>
              <w:top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2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</w:p>
        </w:tc>
        <w:tc>
          <w:tcPr>
            <w:tcW w:type="dxa" w:w="13544"/>
            <w:gridSpan w:val="6"/>
            <w:tcBorders>
              <w:top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20000">
            <w:pPr>
              <w:widowControl w:val="0"/>
              <w:ind/>
              <w:jc w:val="center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 xml:space="preserve">Цель 1 Программы: </w:t>
            </w:r>
            <w:r>
              <w:rPr>
                <w:color w:val="FF0000"/>
                <w:sz w:val="28"/>
              </w:rPr>
              <w:t>создание безопасной среды проживания на территории Андроповского муниципального округа Ставропольского края</w:t>
            </w:r>
          </w:p>
          <w:p w14:paraId="38020000">
            <w:pPr>
              <w:widowControl w:val="0"/>
              <w:ind/>
              <w:jc w:val="center"/>
              <w:rPr>
                <w:color w:val="FF0000"/>
                <w:sz w:val="28"/>
              </w:rPr>
            </w:pPr>
          </w:p>
        </w:tc>
      </w:tr>
      <w:tr>
        <w:tc>
          <w:tcPr>
            <w:tcW w:type="dxa" w:w="1094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20000">
            <w:pPr>
              <w:widowControl w:val="0"/>
              <w:ind/>
              <w:jc w:val="both"/>
            </w:pPr>
            <w:r>
              <w:rPr>
                <w:color w:val="FF0000"/>
                <w:sz w:val="28"/>
              </w:rPr>
              <w:t>1.</w:t>
            </w:r>
          </w:p>
        </w:tc>
        <w:tc>
          <w:tcPr>
            <w:tcW w:type="dxa" w:w="13544"/>
            <w:gridSpan w:val="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20000">
            <w:pPr>
              <w:widowControl w:val="0"/>
              <w:ind/>
              <w:jc w:val="both"/>
            </w:pPr>
            <w:r>
              <w:rPr>
                <w:color w:val="FF0000"/>
                <w:sz w:val="28"/>
              </w:rPr>
              <w:t>Подпрограмма 1 «Снижение рисков и повышение уровня защищенности населения и территории округа от угроз чрезвычайных ситуаций природного и техногенного характера»</w:t>
            </w:r>
          </w:p>
        </w:tc>
      </w:tr>
      <w:tr>
        <w:tc>
          <w:tcPr>
            <w:tcW w:type="dxa" w:w="1094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2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</w:p>
        </w:tc>
        <w:tc>
          <w:tcPr>
            <w:tcW w:type="dxa" w:w="13544"/>
            <w:gridSpan w:val="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2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Задача 1 подпрограммы 1 Программы: Разработка и осуществление  комплекса превентивных мероприятий, направленных на максимально возможное предотвращение чрезвычайных ситуаций природного и техногенного характера</w:t>
            </w:r>
          </w:p>
          <w:p w14:paraId="3D02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</w:p>
        </w:tc>
      </w:tr>
      <w:tr>
        <w:tc>
          <w:tcPr>
            <w:tcW w:type="dxa" w:w="1094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20000">
            <w:pPr>
              <w:widowControl w:val="0"/>
              <w:ind/>
              <w:jc w:val="both"/>
            </w:pPr>
            <w:r>
              <w:rPr>
                <w:color w:val="FF0000"/>
                <w:sz w:val="28"/>
              </w:rPr>
              <w:t>1.1.</w:t>
            </w:r>
          </w:p>
        </w:tc>
        <w:tc>
          <w:tcPr>
            <w:tcW w:type="dxa" w:w="3672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20000">
            <w:pPr>
              <w:widowControl w:val="0"/>
              <w:ind/>
              <w:jc w:val="both"/>
            </w:pPr>
            <w:r>
              <w:rPr>
                <w:color w:val="FF0000"/>
                <w:sz w:val="28"/>
              </w:rPr>
              <w:t>Основное мероприятие: «Защита населения и территории округа от чрезвычайных ситуаций различного характера»</w:t>
            </w:r>
          </w:p>
        </w:tc>
        <w:tc>
          <w:tcPr>
            <w:tcW w:type="dxa" w:w="1692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20000">
            <w:pPr>
              <w:widowControl w:val="0"/>
              <w:ind/>
              <w:jc w:val="both"/>
            </w:pPr>
            <w:r>
              <w:rPr>
                <w:color w:val="FF0000"/>
                <w:sz w:val="28"/>
              </w:rPr>
              <w:t>выполнение функций органами местного самоуправления</w:t>
            </w:r>
          </w:p>
        </w:tc>
        <w:tc>
          <w:tcPr>
            <w:tcW w:type="dxa" w:w="281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2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Отдел по гражданской обороне, защите от чрезвычайных ситуаций, мобилизационной работе и общественной безопасности администрации Андроповского муниципального округа (далее – Отдел ГО);</w:t>
            </w:r>
          </w:p>
          <w:p w14:paraId="4202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территориальные отделы администрации Андроповского муниципального округа Ставропольского края</w:t>
            </w:r>
          </w:p>
          <w:p w14:paraId="4302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</w:p>
        </w:tc>
        <w:tc>
          <w:tcPr>
            <w:tcW w:type="dxa" w:w="1411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20000">
            <w:pPr>
              <w:widowControl w:val="0"/>
              <w:ind/>
              <w:jc w:val="both"/>
            </w:pPr>
            <w:r>
              <w:rPr>
                <w:color w:val="FF0000"/>
                <w:sz w:val="28"/>
              </w:rPr>
              <w:t>2021</w:t>
            </w:r>
          </w:p>
        </w:tc>
        <w:tc>
          <w:tcPr>
            <w:tcW w:type="dxa" w:w="140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20000">
            <w:pPr>
              <w:widowControl w:val="0"/>
              <w:ind/>
              <w:jc w:val="both"/>
            </w:pPr>
            <w:r>
              <w:rPr>
                <w:color w:val="FF0000"/>
                <w:sz w:val="28"/>
              </w:rPr>
              <w:t>2026</w:t>
            </w:r>
          </w:p>
        </w:tc>
        <w:tc>
          <w:tcPr>
            <w:tcW w:type="dxa" w:w="2541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2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целевые индикаторы и показатели, указанные в пунктах 1, 2 таблицы 1 приложения 3 к Программе</w:t>
            </w:r>
          </w:p>
          <w:p w14:paraId="4702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</w:p>
        </w:tc>
      </w:tr>
      <w:tr>
        <w:tc>
          <w:tcPr>
            <w:tcW w:type="dxa" w:w="1094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2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</w:p>
        </w:tc>
        <w:tc>
          <w:tcPr>
            <w:tcW w:type="dxa" w:w="13544"/>
            <w:gridSpan w:val="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2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Задача 2 подпрограммы 1 Программы: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  <w:sz w:val="28"/>
              </w:rPr>
              <w:t>разработка и осуществление  комплекса превентивных мероприятий, направленных на повышение готовности, расширение возможности (спектра применения) аварийно- спасательных сил и развитие единой дежурно - диспетчерской службы и Системы обеспечения вызова экстренных оперативных служб по единому номеру «112»</w:t>
            </w:r>
          </w:p>
          <w:p w14:paraId="4A02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</w:p>
        </w:tc>
      </w:tr>
      <w:tr>
        <w:tc>
          <w:tcPr>
            <w:tcW w:type="dxa" w:w="1094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20000">
            <w:pPr>
              <w:widowControl w:val="0"/>
              <w:ind/>
              <w:jc w:val="both"/>
            </w:pPr>
            <w:r>
              <w:rPr>
                <w:color w:val="FF0000"/>
                <w:sz w:val="28"/>
              </w:rPr>
              <w:t>1.2.</w:t>
            </w:r>
          </w:p>
        </w:tc>
        <w:tc>
          <w:tcPr>
            <w:tcW w:type="dxa" w:w="3672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20000">
            <w:pPr>
              <w:widowControl w:val="0"/>
              <w:ind/>
              <w:jc w:val="both"/>
            </w:pPr>
            <w:r>
              <w:rPr>
                <w:color w:val="FF0000"/>
                <w:sz w:val="28"/>
              </w:rPr>
              <w:t>Основное мероприятие: «Обеспечение деятельности аварийно-спасательных подразделений и единой дежурно-диспетчерской службы»</w:t>
            </w:r>
          </w:p>
        </w:tc>
        <w:tc>
          <w:tcPr>
            <w:tcW w:type="dxa" w:w="1692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20000">
            <w:pPr>
              <w:widowControl w:val="0"/>
              <w:ind/>
              <w:jc w:val="both"/>
            </w:pPr>
            <w:r>
              <w:rPr>
                <w:color w:val="FF0000"/>
                <w:sz w:val="28"/>
              </w:rPr>
              <w:t>выполнение функций органами местного самоуправления</w:t>
            </w:r>
          </w:p>
        </w:tc>
        <w:tc>
          <w:tcPr>
            <w:tcW w:type="dxa" w:w="281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20000">
            <w:pPr>
              <w:widowControl w:val="0"/>
              <w:ind/>
              <w:jc w:val="both"/>
            </w:pPr>
            <w:r>
              <w:rPr>
                <w:color w:val="FF0000"/>
                <w:sz w:val="28"/>
              </w:rPr>
              <w:t xml:space="preserve">Муниципальное бюджетное учреждение «Единая дежурно-диспетчерская служба Андроповского муниципального округа» </w:t>
            </w:r>
          </w:p>
        </w:tc>
        <w:tc>
          <w:tcPr>
            <w:tcW w:type="dxa" w:w="1411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20000">
            <w:pPr>
              <w:widowControl w:val="0"/>
              <w:ind/>
              <w:jc w:val="both"/>
            </w:pPr>
            <w:r>
              <w:rPr>
                <w:color w:val="FF0000"/>
                <w:sz w:val="28"/>
              </w:rPr>
              <w:t>2021</w:t>
            </w:r>
          </w:p>
        </w:tc>
        <w:tc>
          <w:tcPr>
            <w:tcW w:type="dxa" w:w="140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20000">
            <w:pPr>
              <w:widowControl w:val="0"/>
              <w:ind/>
              <w:jc w:val="both"/>
            </w:pPr>
            <w:r>
              <w:rPr>
                <w:color w:val="FF0000"/>
                <w:sz w:val="28"/>
              </w:rPr>
              <w:t>2026</w:t>
            </w:r>
          </w:p>
        </w:tc>
        <w:tc>
          <w:tcPr>
            <w:tcW w:type="dxa" w:w="2541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20000">
            <w:pPr>
              <w:widowControl w:val="0"/>
              <w:ind/>
              <w:jc w:val="both"/>
            </w:pPr>
            <w:r>
              <w:rPr>
                <w:color w:val="FF0000"/>
                <w:sz w:val="28"/>
              </w:rPr>
              <w:t>целевые индикаторы и показатели, указанные в пунктах 3,4,5 таблицы 1 приложения 3 к Программе</w:t>
            </w:r>
          </w:p>
        </w:tc>
      </w:tr>
      <w:tr>
        <w:tc>
          <w:tcPr>
            <w:tcW w:type="dxa" w:w="1094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20000">
            <w:pPr>
              <w:widowControl w:val="0"/>
              <w:ind/>
              <w:jc w:val="both"/>
            </w:pPr>
            <w:r>
              <w:rPr>
                <w:color w:val="FF0000"/>
                <w:sz w:val="28"/>
              </w:rPr>
              <w:t>2.</w:t>
            </w:r>
          </w:p>
        </w:tc>
        <w:tc>
          <w:tcPr>
            <w:tcW w:type="dxa" w:w="13544"/>
            <w:gridSpan w:val="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2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Подпрограмма 2 «Система комплексного обеспечения безопасности жизнедеятельности, профилактика</w:t>
            </w:r>
          </w:p>
          <w:p w14:paraId="5402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терроризма и экстремизма»</w:t>
            </w:r>
          </w:p>
          <w:p w14:paraId="5502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</w:p>
        </w:tc>
      </w:tr>
      <w:tr>
        <w:tc>
          <w:tcPr>
            <w:tcW w:type="dxa" w:w="1094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2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</w:p>
        </w:tc>
        <w:tc>
          <w:tcPr>
            <w:tcW w:type="dxa" w:w="13544"/>
            <w:gridSpan w:val="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2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Задача 1 подпрограммы 2 Программы:</w:t>
            </w:r>
            <w:r>
              <w:rPr>
                <w:color w:val="FF0000"/>
                <w:sz w:val="28"/>
              </w:rPr>
              <w:t xml:space="preserve"> Развитие и обеспечение функционирования системы комплексного обеспечения безопасности жизнедеятельности округа на основе внедрения информационно-коммуникационных технологий.</w:t>
            </w:r>
          </w:p>
          <w:p w14:paraId="5802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</w:p>
        </w:tc>
      </w:tr>
      <w:tr>
        <w:tc>
          <w:tcPr>
            <w:tcW w:type="dxa" w:w="1094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20000">
            <w:pPr>
              <w:widowControl w:val="0"/>
              <w:ind/>
              <w:jc w:val="both"/>
            </w:pPr>
            <w:r>
              <w:rPr>
                <w:color w:val="FF0000"/>
                <w:sz w:val="28"/>
              </w:rPr>
              <w:t>2.1.</w:t>
            </w:r>
          </w:p>
        </w:tc>
        <w:tc>
          <w:tcPr>
            <w:tcW w:type="dxa" w:w="3672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2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Основное мероприятие:</w:t>
            </w:r>
          </w:p>
          <w:p w14:paraId="5B020000">
            <w:pPr>
              <w:widowControl w:val="0"/>
              <w:ind/>
              <w:jc w:val="both"/>
            </w:pPr>
            <w:r>
              <w:rPr>
                <w:color w:val="FF0000"/>
                <w:sz w:val="28"/>
              </w:rPr>
              <w:t>«Обеспечение безопасности муниципальных учреждений и граждан в местах массового пребывания людей от угроз терроризма»</w:t>
            </w:r>
          </w:p>
        </w:tc>
        <w:tc>
          <w:tcPr>
            <w:tcW w:type="dxa" w:w="1692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2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выполнение функций органами местного самоуправления</w:t>
            </w:r>
          </w:p>
          <w:p w14:paraId="5D02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</w:p>
        </w:tc>
        <w:tc>
          <w:tcPr>
            <w:tcW w:type="dxa" w:w="281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2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Отдел ГО;</w:t>
            </w:r>
          </w:p>
          <w:p w14:paraId="5F02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Отдел образования администрации Андроповского муниципального округа Ставропольского края;</w:t>
            </w:r>
          </w:p>
          <w:p w14:paraId="6002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Отдел культуры администрации Андроповского муниципального округа Ставропольского края</w:t>
            </w:r>
          </w:p>
          <w:p w14:paraId="6102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</w:p>
        </w:tc>
        <w:tc>
          <w:tcPr>
            <w:tcW w:type="dxa" w:w="1411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20000">
            <w:pPr>
              <w:widowControl w:val="0"/>
              <w:ind/>
              <w:jc w:val="both"/>
            </w:pPr>
            <w:r>
              <w:rPr>
                <w:color w:val="FF0000"/>
                <w:sz w:val="28"/>
              </w:rPr>
              <w:t>2021</w:t>
            </w:r>
          </w:p>
        </w:tc>
        <w:tc>
          <w:tcPr>
            <w:tcW w:type="dxa" w:w="140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20000">
            <w:pPr>
              <w:widowControl w:val="0"/>
              <w:ind/>
              <w:jc w:val="both"/>
            </w:pPr>
            <w:r>
              <w:rPr>
                <w:color w:val="FF0000"/>
                <w:sz w:val="28"/>
              </w:rPr>
              <w:t>2026</w:t>
            </w:r>
          </w:p>
        </w:tc>
        <w:tc>
          <w:tcPr>
            <w:tcW w:type="dxa" w:w="2541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2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целевые индикаторы и показатели, указанные в пункте 6 таблицы 1 приложения 3 к Программе</w:t>
            </w:r>
          </w:p>
          <w:p w14:paraId="6502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</w:p>
        </w:tc>
      </w:tr>
      <w:tr>
        <w:tc>
          <w:tcPr>
            <w:tcW w:type="dxa" w:w="1094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20000">
            <w:pPr>
              <w:widowControl w:val="0"/>
              <w:ind/>
              <w:jc w:val="both"/>
            </w:pPr>
            <w:r>
              <w:rPr>
                <w:color w:val="FF0000"/>
                <w:sz w:val="28"/>
              </w:rPr>
              <w:t>2.2.</w:t>
            </w:r>
          </w:p>
        </w:tc>
        <w:tc>
          <w:tcPr>
            <w:tcW w:type="dxa" w:w="3672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2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Основное мероприятие:</w:t>
            </w:r>
          </w:p>
          <w:p w14:paraId="68020000">
            <w:pPr>
              <w:widowControl w:val="0"/>
              <w:ind/>
              <w:jc w:val="both"/>
            </w:pPr>
            <w:r>
              <w:rPr>
                <w:color w:val="FF0000"/>
                <w:sz w:val="28"/>
              </w:rPr>
              <w:t>«Противодействие идеологии терроризма и экстремизма»</w:t>
            </w:r>
          </w:p>
        </w:tc>
        <w:tc>
          <w:tcPr>
            <w:tcW w:type="dxa" w:w="1692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20000">
            <w:pPr>
              <w:widowControl w:val="0"/>
              <w:ind/>
              <w:jc w:val="both"/>
            </w:pPr>
            <w:r>
              <w:rPr>
                <w:color w:val="FF0000"/>
                <w:sz w:val="28"/>
              </w:rPr>
              <w:t>выполнение функций органами местного самоуправления</w:t>
            </w:r>
          </w:p>
        </w:tc>
        <w:tc>
          <w:tcPr>
            <w:tcW w:type="dxa" w:w="281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20000">
            <w:pPr>
              <w:widowControl w:val="0"/>
              <w:ind/>
              <w:jc w:val="both"/>
            </w:pPr>
            <w:r>
              <w:rPr>
                <w:color w:val="FF0000"/>
                <w:sz w:val="28"/>
              </w:rPr>
              <w:t>Отдел ГО</w:t>
            </w:r>
          </w:p>
        </w:tc>
        <w:tc>
          <w:tcPr>
            <w:tcW w:type="dxa" w:w="1411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20000">
            <w:pPr>
              <w:widowControl w:val="0"/>
              <w:ind/>
              <w:jc w:val="both"/>
            </w:pPr>
            <w:r>
              <w:rPr>
                <w:color w:val="FF0000"/>
                <w:sz w:val="28"/>
              </w:rPr>
              <w:t>2021</w:t>
            </w:r>
          </w:p>
        </w:tc>
        <w:tc>
          <w:tcPr>
            <w:tcW w:type="dxa" w:w="140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20000">
            <w:pPr>
              <w:widowControl w:val="0"/>
              <w:ind/>
              <w:jc w:val="both"/>
            </w:pPr>
            <w:r>
              <w:rPr>
                <w:color w:val="FF0000"/>
                <w:sz w:val="28"/>
              </w:rPr>
              <w:t>2026</w:t>
            </w:r>
          </w:p>
        </w:tc>
        <w:tc>
          <w:tcPr>
            <w:tcW w:type="dxa" w:w="2541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2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целевые индикаторы и показатели, указанные в пункте 7 таблицы 1 приложения 3 к Программе</w:t>
            </w:r>
          </w:p>
          <w:p w14:paraId="6E020000">
            <w:pPr>
              <w:widowControl w:val="0"/>
              <w:ind/>
              <w:jc w:val="both"/>
              <w:rPr>
                <w:color w:val="FF0000"/>
                <w:sz w:val="28"/>
              </w:rPr>
            </w:pPr>
          </w:p>
        </w:tc>
      </w:tr>
    </w:tbl>
    <w:p w14:paraId="6F020000">
      <w:pPr>
        <w:widowControl w:val="0"/>
        <w:ind w:firstLine="0" w:left="9356" w:right="0"/>
        <w:jc w:val="right"/>
        <w:rPr>
          <w:color w:val="FF0000"/>
          <w:sz w:val="28"/>
        </w:rPr>
      </w:pPr>
    </w:p>
    <w:p w14:paraId="70020000">
      <w:pPr>
        <w:pageBreakBefore w:val="1"/>
        <w:widowControl w:val="0"/>
        <w:spacing w:line="240" w:lineRule="exact"/>
        <w:ind w:firstLine="0" w:left="9204" w:right="0"/>
        <w:jc w:val="center"/>
        <w:rPr>
          <w:color w:val="D99594"/>
          <w:sz w:val="28"/>
        </w:rPr>
      </w:pPr>
      <w:r>
        <w:rPr>
          <w:color w:val="D99594"/>
          <w:sz w:val="28"/>
        </w:rPr>
        <w:t>Приложение 3</w:t>
      </w:r>
    </w:p>
    <w:p w14:paraId="71020000">
      <w:pPr>
        <w:widowControl w:val="0"/>
        <w:spacing w:line="240" w:lineRule="exact"/>
        <w:ind w:firstLine="0" w:left="9204" w:right="0"/>
        <w:jc w:val="center"/>
        <w:rPr>
          <w:color w:val="D99594"/>
          <w:sz w:val="28"/>
        </w:rPr>
      </w:pPr>
    </w:p>
    <w:p w14:paraId="72020000">
      <w:pPr>
        <w:widowControl w:val="0"/>
        <w:spacing w:line="240" w:lineRule="exact"/>
        <w:ind w:firstLine="0" w:left="9204" w:right="0"/>
        <w:jc w:val="center"/>
        <w:rPr>
          <w:color w:val="D99594"/>
          <w:sz w:val="28"/>
        </w:rPr>
      </w:pPr>
      <w:r>
        <w:rPr>
          <w:color w:val="D99594"/>
          <w:sz w:val="28"/>
        </w:rPr>
        <w:t>к муниципальной программе</w:t>
      </w:r>
    </w:p>
    <w:p w14:paraId="73020000">
      <w:pPr>
        <w:widowControl w:val="0"/>
        <w:spacing w:line="240" w:lineRule="exact"/>
        <w:ind w:firstLine="0" w:left="9204" w:right="0"/>
        <w:jc w:val="center"/>
        <w:rPr>
          <w:color w:val="D99594"/>
          <w:sz w:val="28"/>
        </w:rPr>
      </w:pPr>
      <w:r>
        <w:rPr>
          <w:color w:val="D99594"/>
          <w:sz w:val="28"/>
        </w:rPr>
        <w:t>Андроповского муниципального округа Ставропольского края «Обеспечение</w:t>
      </w:r>
    </w:p>
    <w:p w14:paraId="74020000">
      <w:pPr>
        <w:widowControl w:val="0"/>
        <w:spacing w:line="240" w:lineRule="exact"/>
        <w:ind w:firstLine="0" w:left="9204" w:right="0"/>
        <w:jc w:val="center"/>
        <w:rPr>
          <w:color w:val="D99594"/>
          <w:sz w:val="28"/>
        </w:rPr>
      </w:pPr>
      <w:r>
        <w:rPr>
          <w:color w:val="D99594"/>
          <w:sz w:val="28"/>
        </w:rPr>
        <w:t>безопасности жизнедеятельности</w:t>
      </w:r>
    </w:p>
    <w:p w14:paraId="75020000">
      <w:pPr>
        <w:widowControl w:val="0"/>
        <w:numPr>
          <w:ilvl w:val="0"/>
          <w:numId w:val="0"/>
        </w:numPr>
        <w:spacing w:line="240" w:lineRule="exact"/>
        <w:ind w:firstLine="0" w:left="9204" w:right="0"/>
        <w:jc w:val="center"/>
        <w:outlineLvl w:val="2"/>
        <w:rPr>
          <w:color w:val="D99594"/>
          <w:sz w:val="28"/>
        </w:rPr>
      </w:pPr>
      <w:r>
        <w:rPr>
          <w:color w:val="D99594"/>
          <w:sz w:val="28"/>
        </w:rPr>
        <w:t>населения»</w:t>
      </w:r>
    </w:p>
    <w:p w14:paraId="76020000">
      <w:pPr>
        <w:widowControl w:val="0"/>
        <w:spacing w:line="240" w:lineRule="exact"/>
        <w:ind/>
        <w:jc w:val="center"/>
        <w:rPr>
          <w:color w:val="D99594"/>
          <w:sz w:val="28"/>
        </w:rPr>
      </w:pPr>
    </w:p>
    <w:p w14:paraId="77020000">
      <w:pPr>
        <w:widowControl w:val="0"/>
        <w:spacing w:line="240" w:lineRule="exact"/>
        <w:ind/>
        <w:jc w:val="center"/>
        <w:rPr>
          <w:color w:val="D99594"/>
          <w:sz w:val="28"/>
        </w:rPr>
      </w:pPr>
    </w:p>
    <w:p w14:paraId="78020000">
      <w:pPr>
        <w:widowControl w:val="0"/>
        <w:spacing w:line="240" w:lineRule="exact"/>
        <w:ind w:firstLine="0" w:left="9204" w:right="0"/>
        <w:jc w:val="center"/>
        <w:rPr>
          <w:color w:val="D99594"/>
          <w:sz w:val="28"/>
        </w:rPr>
      </w:pPr>
      <w:r>
        <w:rPr>
          <w:color w:val="D99594"/>
          <w:sz w:val="28"/>
        </w:rPr>
        <w:t>(в редакции постановления администрации</w:t>
      </w:r>
    </w:p>
    <w:p w14:paraId="79020000">
      <w:pPr>
        <w:widowControl w:val="0"/>
        <w:spacing w:line="240" w:lineRule="exact"/>
        <w:ind w:firstLine="0" w:left="9204" w:right="0"/>
        <w:jc w:val="center"/>
        <w:rPr>
          <w:color w:val="D99594"/>
          <w:sz w:val="28"/>
        </w:rPr>
      </w:pPr>
      <w:r>
        <w:rPr>
          <w:color w:val="D99594"/>
          <w:sz w:val="28"/>
        </w:rPr>
        <w:t>Андроповского муниципального округа</w:t>
      </w:r>
    </w:p>
    <w:p w14:paraId="7A020000">
      <w:pPr>
        <w:widowControl w:val="0"/>
        <w:spacing w:line="240" w:lineRule="exact"/>
        <w:ind w:firstLine="0" w:left="9204" w:right="0"/>
        <w:jc w:val="center"/>
        <w:rPr>
          <w:color w:val="D99594"/>
          <w:sz w:val="28"/>
        </w:rPr>
      </w:pPr>
      <w:r>
        <w:rPr>
          <w:color w:val="D99594"/>
          <w:sz w:val="28"/>
        </w:rPr>
        <w:t>Ставропольского края</w:t>
      </w:r>
    </w:p>
    <w:p w14:paraId="7B020000">
      <w:pPr>
        <w:widowControl w:val="0"/>
        <w:numPr>
          <w:ilvl w:val="0"/>
          <w:numId w:val="0"/>
        </w:numPr>
        <w:spacing w:line="240" w:lineRule="exact"/>
        <w:ind w:firstLine="0" w:left="9204" w:right="0"/>
        <w:jc w:val="center"/>
        <w:outlineLvl w:val="2"/>
        <w:rPr>
          <w:color w:val="D99594"/>
          <w:sz w:val="28"/>
        </w:rPr>
      </w:pPr>
      <w:r>
        <w:rPr>
          <w:color w:val="D99594"/>
          <w:sz w:val="28"/>
        </w:rPr>
        <w:t>от 27 декабря 2024 г. № 938)</w:t>
      </w:r>
    </w:p>
    <w:p w14:paraId="7C020000">
      <w:pPr>
        <w:numPr>
          <w:ilvl w:val="0"/>
          <w:numId w:val="0"/>
        </w:numPr>
        <w:ind/>
        <w:jc w:val="right"/>
        <w:outlineLvl w:val="2"/>
        <w:rPr>
          <w:color w:val="D99594"/>
          <w:sz w:val="28"/>
        </w:rPr>
      </w:pPr>
      <w:r>
        <w:rPr>
          <w:color w:val="D99594"/>
          <w:sz w:val="28"/>
        </w:rPr>
        <w:t>Таблица 3</w:t>
      </w:r>
    </w:p>
    <w:p w14:paraId="7D020000">
      <w:pPr>
        <w:widowControl w:val="0"/>
        <w:spacing w:line="240" w:lineRule="exact"/>
        <w:ind/>
        <w:jc w:val="center"/>
        <w:rPr>
          <w:color w:val="D99594"/>
          <w:sz w:val="28"/>
        </w:rPr>
      </w:pPr>
    </w:p>
    <w:p w14:paraId="7E020000">
      <w:pPr>
        <w:widowControl w:val="0"/>
        <w:spacing w:line="240" w:lineRule="exact"/>
        <w:ind/>
        <w:jc w:val="center"/>
        <w:rPr>
          <w:color w:val="D99594"/>
          <w:sz w:val="28"/>
        </w:rPr>
      </w:pPr>
    </w:p>
    <w:p w14:paraId="7F020000">
      <w:pPr>
        <w:widowControl w:val="0"/>
        <w:spacing w:line="240" w:lineRule="exact"/>
        <w:ind/>
        <w:jc w:val="center"/>
        <w:rPr>
          <w:color w:val="D99594"/>
          <w:sz w:val="28"/>
        </w:rPr>
      </w:pPr>
      <w:r>
        <w:rPr>
          <w:color w:val="D99594"/>
          <w:sz w:val="28"/>
        </w:rPr>
        <w:t>ОБЪЕМЫ И ИСТОЧНИКИ</w:t>
      </w:r>
    </w:p>
    <w:p w14:paraId="80020000">
      <w:pPr>
        <w:widowControl w:val="0"/>
        <w:spacing w:line="240" w:lineRule="exact"/>
        <w:ind/>
        <w:jc w:val="center"/>
        <w:rPr>
          <w:color w:val="D99594"/>
          <w:sz w:val="28"/>
        </w:rPr>
      </w:pPr>
    </w:p>
    <w:p w14:paraId="81020000">
      <w:pPr>
        <w:widowControl w:val="0"/>
        <w:spacing w:line="240" w:lineRule="exact"/>
        <w:ind/>
        <w:jc w:val="center"/>
        <w:rPr>
          <w:color w:val="D99594"/>
          <w:sz w:val="28"/>
        </w:rPr>
      </w:pPr>
      <w:r>
        <w:rPr>
          <w:color w:val="D99594"/>
          <w:sz w:val="28"/>
        </w:rPr>
        <w:t xml:space="preserve">финансового обеспечения </w:t>
      </w:r>
      <w:r>
        <w:rPr>
          <w:color w:val="D99594"/>
          <w:sz w:val="28"/>
        </w:rPr>
        <w:t>муниципальной программы Андроповского муниципального округа Ставропольского края «Обеспечение безопасности жизнедеятельности населения»</w:t>
      </w:r>
      <w:r>
        <w:rPr>
          <w:color w:val="D99594"/>
          <w:sz w:val="28"/>
        </w:rPr>
        <w:t xml:space="preserve"> (далее - Программа)</w:t>
      </w:r>
    </w:p>
    <w:p w14:paraId="82020000">
      <w:pPr>
        <w:widowControl w:val="0"/>
        <w:spacing w:line="240" w:lineRule="exact"/>
        <w:ind/>
        <w:jc w:val="center"/>
        <w:rPr>
          <w:color w:val="D99594"/>
          <w:sz w:val="28"/>
        </w:rPr>
      </w:pPr>
    </w:p>
    <w:tbl>
      <w:tblPr>
        <w:tblStyle w:val="Style_4"/>
        <w:tblW w:type="auto" w:w="0"/>
        <w:tblInd w:type="dxa" w:w="-176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710"/>
        <w:gridCol w:w="2835"/>
        <w:gridCol w:w="2976"/>
        <w:gridCol w:w="1510"/>
        <w:gridCol w:w="1384"/>
        <w:gridCol w:w="1383"/>
        <w:gridCol w:w="1384"/>
        <w:gridCol w:w="1383"/>
        <w:gridCol w:w="1526"/>
      </w:tblGrid>
      <w:tr>
        <w:trPr>
          <w:trHeight w:hRule="atLeast" w:val="948"/>
        </w:trPr>
        <w:tc>
          <w:tcPr>
            <w:tcW w:type="dxa" w:w="71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 xml:space="preserve">№ </w:t>
            </w:r>
            <w:r>
              <w:rPr>
                <w:color w:val="D99594"/>
                <w:sz w:val="28"/>
              </w:rPr>
              <w:t>п/п</w:t>
            </w:r>
          </w:p>
        </w:tc>
        <w:tc>
          <w:tcPr>
            <w:tcW w:type="dxa" w:w="283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Наименование Программы, подпрограммы Программы, основного мероприятия подпрограммы Программы</w:t>
            </w:r>
          </w:p>
        </w:tc>
        <w:tc>
          <w:tcPr>
            <w:tcW w:type="dxa" w:w="29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Источники финансового обеспечения по ответственному исполнителю, соисполнителю программы, подпрограммы программы, основному мероприятию подпрограммы программы</w:t>
            </w:r>
          </w:p>
        </w:tc>
        <w:tc>
          <w:tcPr>
            <w:tcW w:type="dxa" w:w="8570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2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Объемы финансового обеспечения</w:t>
            </w:r>
          </w:p>
          <w:p w14:paraId="8702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по годам (тыс. рублей)</w:t>
            </w:r>
          </w:p>
          <w:p w14:paraId="8802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</w:tr>
      <w:tr>
        <w:trPr>
          <w:trHeight w:hRule="atLeast" w:val="142"/>
        </w:trPr>
        <w:tc>
          <w:tcPr>
            <w:tcW w:type="dxa" w:w="71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29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2021 год</w:t>
            </w:r>
          </w:p>
        </w:tc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2022 год</w:t>
            </w:r>
          </w:p>
        </w:tc>
        <w:tc>
          <w:tcPr>
            <w:tcW w:type="dxa" w:w="1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2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2023 год</w:t>
            </w:r>
          </w:p>
          <w:p w14:paraId="8C02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20000">
            <w:pPr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2024 год</w:t>
            </w:r>
          </w:p>
          <w:p w14:paraId="8E02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1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20000">
            <w:pPr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2025 год</w:t>
            </w:r>
          </w:p>
          <w:p w14:paraId="9002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1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20000">
            <w:pPr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2026 год</w:t>
            </w:r>
          </w:p>
          <w:p w14:paraId="9202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</w:tr>
    </w:tbl>
    <w:p w14:paraId="93020000">
      <w:pPr>
        <w:rPr>
          <w:color w:val="D99594"/>
          <w:sz w:val="5"/>
        </w:rPr>
      </w:pPr>
    </w:p>
    <w:tbl>
      <w:tblPr>
        <w:tblStyle w:val="Style_4"/>
        <w:tblW w:type="auto" w:w="0"/>
        <w:jc w:val="center"/>
        <w:tblInd w:type="dxa" w:w="108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646"/>
        <w:gridCol w:w="2835"/>
        <w:gridCol w:w="2976"/>
        <w:gridCol w:w="1467"/>
        <w:gridCol w:w="1418"/>
        <w:gridCol w:w="1417"/>
        <w:gridCol w:w="1418"/>
        <w:gridCol w:w="1417"/>
        <w:gridCol w:w="1416"/>
      </w:tblGrid>
      <w:tr>
        <w:trPr>
          <w:tblHeader/>
        </w:trPr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</w:t>
            </w:r>
          </w:p>
        </w:tc>
        <w:tc>
          <w:tcPr>
            <w:tcW w:type="dxa" w:w="14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4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5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7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8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9</w:t>
            </w:r>
          </w:p>
        </w:tc>
      </w:tr>
      <w:tr>
        <w:tc>
          <w:tcPr>
            <w:tcW w:type="dxa" w:w="646"/>
            <w:tcBorders>
              <w:top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1.</w:t>
            </w:r>
          </w:p>
        </w:tc>
        <w:tc>
          <w:tcPr>
            <w:tcW w:type="dxa" w:w="2835"/>
            <w:tcBorders>
              <w:top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2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Программа «Обеспечение безопасности жизнедеятельности населения»</w:t>
            </w:r>
            <w:r>
              <w:rPr>
                <w:color w:val="D99594"/>
                <w:sz w:val="28"/>
              </w:rPr>
              <w:t xml:space="preserve"> </w:t>
            </w: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2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Всего</w:t>
            </w:r>
          </w:p>
        </w:tc>
        <w:tc>
          <w:tcPr>
            <w:tcW w:type="dxa" w:w="1467"/>
            <w:tcBorders>
              <w:top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11 521,36</w:t>
            </w:r>
          </w:p>
        </w:tc>
        <w:tc>
          <w:tcPr>
            <w:tcW w:type="dxa" w:w="1418"/>
            <w:tcBorders>
              <w:top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16 760,42</w:t>
            </w:r>
          </w:p>
        </w:tc>
        <w:tc>
          <w:tcPr>
            <w:tcW w:type="dxa" w:w="1417"/>
            <w:tcBorders>
              <w:top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12 720,18</w:t>
            </w:r>
          </w:p>
        </w:tc>
        <w:tc>
          <w:tcPr>
            <w:tcW w:type="dxa" w:w="1418"/>
            <w:tcBorders>
              <w:top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13 829,88</w:t>
            </w:r>
          </w:p>
        </w:tc>
        <w:tc>
          <w:tcPr>
            <w:tcW w:type="dxa" w:w="1417"/>
            <w:tcBorders>
              <w:top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13 143,21</w:t>
            </w:r>
          </w:p>
        </w:tc>
        <w:tc>
          <w:tcPr>
            <w:tcW w:type="dxa" w:w="1416"/>
            <w:tcBorders>
              <w:top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13 143,21</w:t>
            </w:r>
          </w:p>
        </w:tc>
      </w:tr>
      <w:tr>
        <w:tc>
          <w:tcPr>
            <w:tcW w:type="dxa" w:w="646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2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2835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2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2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средства бюджета Андроповского муниципального округа Ставропольского края (далее - бюджет округа),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4 059,1836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7 865,49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2 863,96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2 636,72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2 938,96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2 938,96</w:t>
            </w:r>
          </w:p>
        </w:tc>
      </w:tr>
      <w:t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2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 т.ч. предусмотренные: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2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2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2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2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2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2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</w:tr>
      <w:tr>
        <w:tc>
          <w:tcPr>
            <w:tcW w:type="dxa" w:w="64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2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283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2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2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администрации Андроповского муниципального округа Ставропольского края (далее - администрация округа);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753,53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205,26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510,26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243,02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545,26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545,26</w:t>
            </w:r>
          </w:p>
        </w:tc>
      </w:tr>
      <w:tr>
        <w:tc>
          <w:tcPr>
            <w:tcW w:type="dxa" w:w="3481"/>
            <w:gridSpan w:val="2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2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2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Отделу образования администрации Андроповского муниципального округа Ставропольского края (далее - Отдел образования)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2 501,43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6 884,05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1 892,52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1 892,52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1 892,52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1 892,52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2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Отделу культуры администрации Андроповского муниципального округа Ставропольского края (далее - Отдел культуры)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148,44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150,54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150,54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150,54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150,54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150,54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2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Водораздельному территориальному отделу администрации Андроповского муниципального округа Ставропольского края (далее - Водораздельный терротдел)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2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Воровсколесскому территориальному отделу администрации Андроповского муниципального округа Ставропольского края (далее - Воровсколесский терротдел)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54,00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2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Казинскому территориальному отделу администрации Андроповского муниципального округа Ставропольского края (далее - Казинский терротдел)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2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Красноярскому территориальному отделу администрации Андроповского муниципального округа Ставропольского края (далее - Красноярский терротдел)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2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Крымгиреевскому территориальному отделу администрации Андроповского муниципального округа Ставропольского края (далее - Крымгиреевский терротдел)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82,45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15,00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2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Курсавский территориальный отдел администрации Андроповского муниципального округа Ставропольского края (далее - Курсавский терротдел)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44,64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65,64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35,64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35,64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35,64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35,64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2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Куршавскому территориальному отделу администрации Андроповского муниципального округа Ставропольского края (далее - Куршавский терротдел)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2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2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Новоянкульскому территориальному отделу администрации Андроповского муниципального округа Ставропольского края (далее - Новоянкульский терротдел)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40,95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Солуно-Дмитриевскому территориальному отделу администрации Андроповского муниципального округа Ставропольского края (далее - Солуно-Дмитриевский терротдел)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35,72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40,00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20,00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Султанскому территориальному отделу администрации Андроповского муниципального округа Ставропольского края (далее – Султанский терротдел)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Янкульскому территориальному отделу администрации Андроповского муниципального округа Ставропольского края (далее - Янкульский терротдел)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168,02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 том числе за счет межбюджетных трансфертов, предусмотренных: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678,46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4 841,96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100,00</w:t>
            </w:r>
          </w:p>
        </w:tc>
      </w:tr>
      <w:tr>
        <w:tc>
          <w:tcPr>
            <w:tcW w:type="dxa" w:w="3481"/>
            <w:gridSpan w:val="2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3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администрации округа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100,00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Отделу образования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578,46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4 741,96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выпадающие доходы бюджета округа в результате применения мер муниципального регулирования,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внебюджетные средства и иные источники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50,00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50,00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50,00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50,00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50,00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50,00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средства участников Программы (юридических лиц):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7 412,18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8 844,93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9 806,22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11 143,16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10 154,25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10 154,25</w:t>
            </w:r>
          </w:p>
        </w:tc>
      </w:tr>
      <w:tr>
        <w:tc>
          <w:tcPr>
            <w:tcW w:type="dxa" w:w="3481"/>
            <w:gridSpan w:val="2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3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Муниципального бюджетного учреждения «Единая дежурно-диспетчерская служба Андроповского муниципального округа» (далее – ЕДДС АМО)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7 412,18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8 844,93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9 806,22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11 143,16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10 154,25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10 154,25</w:t>
            </w:r>
          </w:p>
        </w:tc>
      </w:tr>
      <w:tr>
        <w:trPr>
          <w:trHeight w:hRule="atLeast" w:val="322"/>
        </w:trPr>
        <w:tc>
          <w:tcPr>
            <w:tcW w:type="dxa" w:w="646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30000">
            <w:pPr>
              <w:widowControl w:val="0"/>
              <w:ind/>
            </w:pPr>
            <w:r>
              <w:rPr>
                <w:color w:val="D99594"/>
                <w:sz w:val="28"/>
              </w:rPr>
              <w:t>2.</w:t>
            </w:r>
          </w:p>
        </w:tc>
        <w:tc>
          <w:tcPr>
            <w:tcW w:type="dxa" w:w="2835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Подпрограмма «Снижение рисков и повышение уровня защищенности населения и территории округа от угроз чрезвычайных ситуаций природного и техногенного характера»</w:t>
            </w:r>
          </w:p>
        </w:tc>
        <w:tc>
          <w:tcPr>
            <w:tcW w:type="dxa" w:w="2976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3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1467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8 392,96</w:t>
            </w:r>
          </w:p>
        </w:tc>
        <w:tc>
          <w:tcPr>
            <w:tcW w:type="dxa" w:w="1418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9 570,57</w:t>
            </w:r>
          </w:p>
        </w:tc>
        <w:tc>
          <w:tcPr>
            <w:tcW w:type="dxa" w:w="1417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10 506,86</w:t>
            </w:r>
          </w:p>
        </w:tc>
        <w:tc>
          <w:tcPr>
            <w:tcW w:type="dxa" w:w="1418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11 585,56</w:t>
            </w:r>
          </w:p>
        </w:tc>
        <w:tc>
          <w:tcPr>
            <w:tcW w:type="dxa" w:w="1417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10 944,89</w:t>
            </w:r>
          </w:p>
        </w:tc>
        <w:tc>
          <w:tcPr>
            <w:tcW w:type="dxa" w:w="1416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10 944,89</w:t>
            </w:r>
          </w:p>
        </w:tc>
      </w:tr>
      <w:tr>
        <w:trPr>
          <w:trHeight w:hRule="atLeast" w:val="322"/>
        </w:trP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67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8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7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8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7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</w:tr>
      <w:tr>
        <w:tc>
          <w:tcPr>
            <w:tcW w:type="dxa" w:w="3481"/>
            <w:gridSpan w:val="2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3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средства бюджета округа,</w:t>
            </w:r>
          </w:p>
        </w:tc>
        <w:tc>
          <w:tcPr>
            <w:tcW w:type="dxa" w:w="1467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930,78</w:t>
            </w:r>
          </w:p>
        </w:tc>
        <w:tc>
          <w:tcPr>
            <w:tcW w:type="dxa" w:w="1418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675,64</w:t>
            </w:r>
          </w:p>
        </w:tc>
        <w:tc>
          <w:tcPr>
            <w:tcW w:type="dxa" w:w="1417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650,64</w:t>
            </w:r>
          </w:p>
        </w:tc>
        <w:tc>
          <w:tcPr>
            <w:tcW w:type="dxa" w:w="1418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392,40</w:t>
            </w:r>
          </w:p>
        </w:tc>
        <w:tc>
          <w:tcPr>
            <w:tcW w:type="dxa" w:w="1417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740,64</w:t>
            </w:r>
          </w:p>
        </w:tc>
        <w:tc>
          <w:tcPr>
            <w:tcW w:type="dxa" w:w="1416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740,64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 т.ч. предусмотренные:</w:t>
            </w:r>
          </w:p>
        </w:tc>
        <w:tc>
          <w:tcPr>
            <w:tcW w:type="dxa" w:w="1467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8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7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8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7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администрации округа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275,00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50,00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340,00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30000">
            <w:pPr>
              <w:ind/>
              <w:jc w:val="center"/>
            </w:pPr>
            <w:r>
              <w:rPr>
                <w:color w:val="D99594"/>
                <w:sz w:val="28"/>
              </w:rPr>
              <w:t>41,76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30000">
            <w:pPr>
              <w:ind/>
              <w:jc w:val="center"/>
            </w:pPr>
            <w:r>
              <w:rPr>
                <w:color w:val="D99594"/>
                <w:sz w:val="28"/>
              </w:rPr>
              <w:t>390,00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30000">
            <w:pPr>
              <w:ind/>
              <w:jc w:val="center"/>
            </w:pPr>
            <w:r>
              <w:rPr>
                <w:color w:val="D99594"/>
                <w:sz w:val="28"/>
              </w:rPr>
              <w:t>390,00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Водораздельному терротделу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Воровсколесскому терротделу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54,00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Казинскому терротделу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Красноярскому терротделу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Крымгиреевскому терротделу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82,45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15,00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Курсавскому терротделу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44,64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65,64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35,64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35,64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35,64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35,64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Куршавскому терротделу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Новоянкульскому терротделу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40,95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Солуно-Дмитриевскому терротделу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35,72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40,00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20,00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Султанскому терротделу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Янкульскому терротделу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168,02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выпадающие доходы бюджета округа в результате применения мер муниципального регулирования,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 том числе за счет межбюджетных трансфертов, предусмотренные: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</w:tr>
      <w:tr>
        <w:tc>
          <w:tcPr>
            <w:tcW w:type="dxa" w:w="3481"/>
            <w:gridSpan w:val="2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3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ответственному исполнителю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соисполнителю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выпадающие доходы бюджета округа в результате применения мер муниципального регулирования,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внебюджетные средства и иные источники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50,00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50,00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50,00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50,00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50,00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50,00</w:t>
            </w:r>
          </w:p>
        </w:tc>
      </w:tr>
      <w:tr>
        <w:tc>
          <w:tcPr>
            <w:tcW w:type="dxa" w:w="3481"/>
            <w:gridSpan w:val="2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средства участников Программы (юридических лиц):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7 412,18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8 844,93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9 806,22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11 143,16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10 154,25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10 154,25</w:t>
            </w:r>
          </w:p>
        </w:tc>
      </w:tr>
      <w:tr>
        <w:tc>
          <w:tcPr>
            <w:tcW w:type="dxa" w:w="3481"/>
            <w:gridSpan w:val="2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3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ЕДДС АМО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7 412,18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8 844,93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9 806,22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11 143,16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10 154,25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10 154,25</w:t>
            </w:r>
          </w:p>
        </w:tc>
      </w:tr>
      <w:tr>
        <w:tc>
          <w:tcPr>
            <w:tcW w:type="dxa" w:w="15010"/>
            <w:gridSpan w:val="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30000">
            <w:pPr>
              <w:widowControl w:val="0"/>
              <w:ind/>
            </w:pPr>
            <w:r>
              <w:rPr>
                <w:color w:val="D99594"/>
                <w:sz w:val="28"/>
              </w:rPr>
              <w:t>в том числе следующие основные мероприятия:</w:t>
            </w:r>
          </w:p>
        </w:tc>
      </w:tr>
      <w:tr>
        <w:trPr>
          <w:trHeight w:hRule="atLeast" w:val="322"/>
        </w:trPr>
        <w:tc>
          <w:tcPr>
            <w:tcW w:type="dxa" w:w="646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30000">
            <w:pPr>
              <w:widowControl w:val="0"/>
              <w:ind/>
            </w:pPr>
            <w:r>
              <w:rPr>
                <w:color w:val="D99594"/>
                <w:sz w:val="28"/>
              </w:rPr>
              <w:t>2.1.</w:t>
            </w:r>
          </w:p>
        </w:tc>
        <w:tc>
          <w:tcPr>
            <w:tcW w:type="dxa" w:w="2835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Основное мероприятие «Защита населения и территории округа от чрезвычайных ситуаций различного характера»</w:t>
            </w:r>
          </w:p>
        </w:tc>
        <w:tc>
          <w:tcPr>
            <w:tcW w:type="dxa" w:w="2976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3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1467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930,78</w:t>
            </w:r>
          </w:p>
        </w:tc>
        <w:tc>
          <w:tcPr>
            <w:tcW w:type="dxa" w:w="1418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675,64</w:t>
            </w:r>
          </w:p>
        </w:tc>
        <w:tc>
          <w:tcPr>
            <w:tcW w:type="dxa" w:w="1417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650,64</w:t>
            </w:r>
          </w:p>
        </w:tc>
        <w:tc>
          <w:tcPr>
            <w:tcW w:type="dxa" w:w="1418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392,40</w:t>
            </w:r>
          </w:p>
        </w:tc>
        <w:tc>
          <w:tcPr>
            <w:tcW w:type="dxa" w:w="1417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740,64</w:t>
            </w:r>
          </w:p>
        </w:tc>
        <w:tc>
          <w:tcPr>
            <w:tcW w:type="dxa" w:w="1416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740,64</w:t>
            </w:r>
          </w:p>
        </w:tc>
      </w:tr>
      <w:tr>
        <w:trPr>
          <w:trHeight w:hRule="atLeast" w:val="322"/>
        </w:trP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67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8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7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8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7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</w:tr>
      <w:tr>
        <w:tc>
          <w:tcPr>
            <w:tcW w:type="dxa" w:w="64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3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283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3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3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средства бюджета округа,</w:t>
            </w:r>
          </w:p>
          <w:p w14:paraId="FB03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 т.ч. предусмотренные: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930,78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675,64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650,64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3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392,40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740,64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740,64</w:t>
            </w:r>
          </w:p>
        </w:tc>
      </w:tr>
      <w:tr>
        <w:tc>
          <w:tcPr>
            <w:tcW w:type="dxa" w:w="646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4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2835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4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администрацией округа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275,00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50,00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340,00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41,76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390,00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390,00</w:t>
            </w:r>
          </w:p>
        </w:tc>
      </w:tr>
      <w:t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Водораздельному терротделу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</w:tr>
      <w:t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Воровсколесскому терротделу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54,00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</w:tr>
      <w:t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Казинскому терротделу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</w:tr>
      <w:t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Красноярскому терротделу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</w:tr>
      <w:t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Крымгиреевскому терротделу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82,45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15,00</w:t>
            </w:r>
          </w:p>
        </w:tc>
      </w:tr>
      <w:t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Курсавскому терротделу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44,64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65,64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35,64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35,64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35,64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35,64</w:t>
            </w:r>
          </w:p>
        </w:tc>
      </w:tr>
      <w:t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Куршавскому терротделу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</w:tr>
      <w:t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Новоянкульскому терротделу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40,95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</w:tr>
      <w:t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Солуно-Дмитриевскому терротделу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35,72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40,00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20,00</w:t>
            </w:r>
          </w:p>
        </w:tc>
      </w:tr>
      <w:t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Султанскому терротделу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</w:tr>
      <w:t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Янкульскому терротделу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168,02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35,00</w:t>
            </w:r>
          </w:p>
        </w:tc>
      </w:tr>
      <w:t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4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4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4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4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4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4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4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</w:tr>
      <w:t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 том числе за счет межбюджетных трансфертов, предусмотренных: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</w:tr>
      <w:t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администрации округа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</w:tr>
      <w:t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выпадающие доходы бюджета округа в результате применения мер муниципального регулирования,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</w:tr>
      <w:t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внебюджетные средства и иные источники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</w:tr>
      <w:t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средства участников Программы (юридических лиц)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</w:tr>
      <w:tr>
        <w:tc>
          <w:tcPr>
            <w:tcW w:type="dxa" w:w="64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40000">
            <w:pPr>
              <w:widowControl w:val="0"/>
              <w:ind/>
            </w:pPr>
            <w:r>
              <w:rPr>
                <w:color w:val="D99594"/>
                <w:sz w:val="28"/>
              </w:rPr>
              <w:t>2.2.</w:t>
            </w:r>
          </w:p>
        </w:tc>
        <w:tc>
          <w:tcPr>
            <w:tcW w:type="dxa" w:w="283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Основное мероприятие «Обеспечение деятельности аварийно-спасательных подразделений и единой дежурно-диспетчерской службы»</w:t>
            </w: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4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7 462,18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8 894,93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9 856,22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11 193,16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10 204,25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10 204,25</w:t>
            </w:r>
          </w:p>
        </w:tc>
      </w:tr>
      <w:tr>
        <w:tc>
          <w:tcPr>
            <w:tcW w:type="dxa" w:w="646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40000">
            <w:pPr>
              <w:widowControl w:val="0"/>
              <w:ind/>
              <w:rPr>
                <w:color w:val="D99594"/>
                <w:sz w:val="28"/>
              </w:rPr>
            </w:pPr>
          </w:p>
        </w:tc>
        <w:tc>
          <w:tcPr>
            <w:tcW w:type="dxa" w:w="2835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4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4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средства бюджета округа,</w:t>
            </w:r>
          </w:p>
          <w:p w14:paraId="8E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 т.ч. предусмотренные: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</w:tr>
      <w:t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ЕДДС АМО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</w:tr>
      <w:t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 том числе за счет межбюджетных трансфертов, предусмотренных: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</w:tr>
      <w:t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ЕДДС АМО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</w:tr>
      <w:t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выпадающие доходы бюджета округа в результате применения мер муниципального регулирования,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</w:tr>
      <w:t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внебюджетные средства и иные источники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50,00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50,00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50,00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50,00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50,00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50,00</w:t>
            </w:r>
          </w:p>
        </w:tc>
      </w:tr>
      <w:t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средства участников Программы (юридических лиц):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7 412,18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8 844,93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9 806,22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11 143,16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10 154,25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10 154,25</w:t>
            </w:r>
          </w:p>
        </w:tc>
      </w:tr>
      <w:tr>
        <w:tc>
          <w:tcPr>
            <w:tcW w:type="dxa" w:w="64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40000">
            <w:pPr>
              <w:widowControl w:val="0"/>
              <w:ind/>
              <w:rPr>
                <w:color w:val="D99594"/>
                <w:sz w:val="28"/>
              </w:rPr>
            </w:pPr>
          </w:p>
        </w:tc>
        <w:tc>
          <w:tcPr>
            <w:tcW w:type="dxa" w:w="283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4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ЕДДС АМО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7 412,18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8 844,93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9 806,22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11 143,16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10 154,25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10 154,25</w:t>
            </w:r>
          </w:p>
        </w:tc>
      </w:tr>
      <w:tr>
        <w:trPr>
          <w:trHeight w:hRule="atLeast" w:val="322"/>
        </w:trPr>
        <w:tc>
          <w:tcPr>
            <w:tcW w:type="dxa" w:w="646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40000">
            <w:pPr>
              <w:widowControl w:val="0"/>
              <w:ind/>
            </w:pPr>
            <w:r>
              <w:rPr>
                <w:color w:val="D99594"/>
                <w:sz w:val="28"/>
              </w:rPr>
              <w:t>3.</w:t>
            </w:r>
          </w:p>
        </w:tc>
        <w:tc>
          <w:tcPr>
            <w:tcW w:type="dxa" w:w="2835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Подпрограмма «Система комплексного обеспечения безопасности жизнедеятельности, профилактика терроризма и экстремизма»</w:t>
            </w:r>
          </w:p>
        </w:tc>
        <w:tc>
          <w:tcPr>
            <w:tcW w:type="dxa" w:w="2976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4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1467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3 128,40</w:t>
            </w:r>
          </w:p>
        </w:tc>
        <w:tc>
          <w:tcPr>
            <w:tcW w:type="dxa" w:w="1418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7 189,85</w:t>
            </w:r>
          </w:p>
        </w:tc>
        <w:tc>
          <w:tcPr>
            <w:tcW w:type="dxa" w:w="1417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2 213,32</w:t>
            </w:r>
          </w:p>
        </w:tc>
        <w:tc>
          <w:tcPr>
            <w:tcW w:type="dxa" w:w="1418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2 244,32</w:t>
            </w:r>
          </w:p>
        </w:tc>
        <w:tc>
          <w:tcPr>
            <w:tcW w:type="dxa" w:w="1417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2 198,32</w:t>
            </w:r>
          </w:p>
        </w:tc>
        <w:tc>
          <w:tcPr>
            <w:tcW w:type="dxa" w:w="1416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2 198,32</w:t>
            </w:r>
          </w:p>
        </w:tc>
      </w:tr>
      <w:tr>
        <w:trPr>
          <w:trHeight w:hRule="atLeast" w:val="322"/>
        </w:trP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67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8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7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8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7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</w:tr>
      <w:tr>
        <w:tc>
          <w:tcPr>
            <w:tcW w:type="dxa" w:w="646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40000">
            <w:pPr>
              <w:widowControl w:val="0"/>
              <w:ind/>
              <w:rPr>
                <w:color w:val="D99594"/>
                <w:sz w:val="28"/>
              </w:rPr>
            </w:pPr>
          </w:p>
        </w:tc>
        <w:tc>
          <w:tcPr>
            <w:tcW w:type="dxa" w:w="2835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4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средства бюджета округа,</w:t>
            </w:r>
          </w:p>
        </w:tc>
        <w:tc>
          <w:tcPr>
            <w:tcW w:type="dxa" w:w="1467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3 128,40</w:t>
            </w:r>
          </w:p>
        </w:tc>
        <w:tc>
          <w:tcPr>
            <w:tcW w:type="dxa" w:w="1418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7 189,85</w:t>
            </w:r>
          </w:p>
        </w:tc>
        <w:tc>
          <w:tcPr>
            <w:tcW w:type="dxa" w:w="1417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2 213,32</w:t>
            </w:r>
          </w:p>
        </w:tc>
        <w:tc>
          <w:tcPr>
            <w:tcW w:type="dxa" w:w="1418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2 244,32</w:t>
            </w:r>
          </w:p>
        </w:tc>
        <w:tc>
          <w:tcPr>
            <w:tcW w:type="dxa" w:w="1417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2 198,32</w:t>
            </w:r>
          </w:p>
        </w:tc>
        <w:tc>
          <w:tcPr>
            <w:tcW w:type="dxa" w:w="1416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2 198,32</w:t>
            </w:r>
          </w:p>
        </w:tc>
      </w:tr>
      <w:t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 т.ч. предусмотренные:</w:t>
            </w:r>
          </w:p>
        </w:tc>
        <w:tc>
          <w:tcPr>
            <w:tcW w:type="dxa" w:w="1467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8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7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8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7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</w:tr>
      <w:t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администрации округа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478,53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155,26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170,26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201,26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155,26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155,26</w:t>
            </w:r>
          </w:p>
        </w:tc>
      </w:tr>
      <w:t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4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  <w:r>
              <w:rPr>
                <w:color w:val="D99594"/>
                <w:sz w:val="28"/>
              </w:rPr>
              <w:t>Отделу образования</w:t>
            </w:r>
          </w:p>
          <w:p w14:paraId="E304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2 501,43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6 884,05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1 892,52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1 892,52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1 892,52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1 892,52</w:t>
            </w:r>
          </w:p>
        </w:tc>
      </w:tr>
      <w:t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Отделу культуры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148,44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150,54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150,54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150,54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150,54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150,54</w:t>
            </w:r>
          </w:p>
        </w:tc>
      </w:tr>
      <w:t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 том числе за счет межбюджетных трансфертов, предусмотренных: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678,46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4 841,96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100,00</w:t>
            </w:r>
          </w:p>
        </w:tc>
      </w:tr>
      <w:tr>
        <w:tc>
          <w:tcPr>
            <w:tcW w:type="dxa" w:w="64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4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283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4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4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администрация округа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4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100,00</w:t>
            </w:r>
          </w:p>
        </w:tc>
      </w:tr>
      <w:tr>
        <w:tc>
          <w:tcPr>
            <w:tcW w:type="dxa" w:w="64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5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283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5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5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Отделу образования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578,46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4 741,96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</w:tr>
      <w:tr>
        <w:tc>
          <w:tcPr>
            <w:tcW w:type="dxa" w:w="64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5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283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5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5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выпадающие доходы бюджета округа в результате применения мер муниципального регулирования,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</w:tr>
      <w:tr>
        <w:tc>
          <w:tcPr>
            <w:tcW w:type="dxa" w:w="64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5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283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5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5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внебюджетные средства и иные источники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</w:tr>
      <w:tr>
        <w:tc>
          <w:tcPr>
            <w:tcW w:type="dxa" w:w="64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5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283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5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5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средства участников Программы (юридических лиц)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</w:tr>
      <w:tr>
        <w:tc>
          <w:tcPr>
            <w:tcW w:type="dxa" w:w="15010"/>
            <w:gridSpan w:val="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50000">
            <w:pPr>
              <w:widowControl w:val="0"/>
              <w:ind/>
            </w:pPr>
            <w:r>
              <w:rPr>
                <w:color w:val="D99594"/>
                <w:sz w:val="28"/>
              </w:rPr>
              <w:t>в том числе следующие основные мероприятия:</w:t>
            </w:r>
          </w:p>
        </w:tc>
      </w:tr>
      <w:tr>
        <w:tc>
          <w:tcPr>
            <w:tcW w:type="dxa" w:w="64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50000">
            <w:pPr>
              <w:widowControl w:val="0"/>
              <w:ind/>
            </w:pPr>
            <w:r>
              <w:rPr>
                <w:color w:val="D99594"/>
                <w:sz w:val="28"/>
              </w:rPr>
              <w:t>3.1.</w:t>
            </w:r>
          </w:p>
        </w:tc>
        <w:tc>
          <w:tcPr>
            <w:tcW w:type="dxa" w:w="283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5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Основное мероприятие «Обеспечение безопасности муниципальных учреждений и граждан в местах массового пребывания людей от угроз терроризма»</w:t>
            </w: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5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2 974,87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7 034,59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2 043,06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2 043,06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2 043,06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2 043,06</w:t>
            </w:r>
          </w:p>
        </w:tc>
      </w:tr>
      <w:tr>
        <w:tc>
          <w:tcPr>
            <w:tcW w:type="dxa" w:w="646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5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2835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5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5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средства бюджета округа,</w:t>
            </w:r>
          </w:p>
        </w:tc>
        <w:tc>
          <w:tcPr>
            <w:tcW w:type="dxa" w:w="1467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2 974,87</w:t>
            </w:r>
          </w:p>
        </w:tc>
        <w:tc>
          <w:tcPr>
            <w:tcW w:type="dxa" w:w="1418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7 034,59</w:t>
            </w:r>
          </w:p>
        </w:tc>
        <w:tc>
          <w:tcPr>
            <w:tcW w:type="dxa" w:w="1417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2 043,06</w:t>
            </w:r>
          </w:p>
        </w:tc>
        <w:tc>
          <w:tcPr>
            <w:tcW w:type="dxa" w:w="1418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2 043,06</w:t>
            </w:r>
          </w:p>
        </w:tc>
        <w:tc>
          <w:tcPr>
            <w:tcW w:type="dxa" w:w="1417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2 043,06</w:t>
            </w:r>
          </w:p>
        </w:tc>
        <w:tc>
          <w:tcPr>
            <w:tcW w:type="dxa" w:w="1416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2 043,06</w:t>
            </w:r>
          </w:p>
        </w:tc>
      </w:tr>
      <w:t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5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 т.ч. предусмотренные:</w:t>
            </w:r>
          </w:p>
        </w:tc>
        <w:tc>
          <w:tcPr>
            <w:tcW w:type="dxa" w:w="1467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8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7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8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7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</w:tr>
      <w:tr>
        <w:tc>
          <w:tcPr>
            <w:tcW w:type="dxa" w:w="64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5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283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5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5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администрации округа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325,00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</w:tr>
      <w:tr>
        <w:tc>
          <w:tcPr>
            <w:tcW w:type="dxa" w:w="64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5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283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5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5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Отделу образования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2 501,43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6 884,05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1 892,52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1 892,52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1 892,52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1 892,52</w:t>
            </w:r>
          </w:p>
        </w:tc>
      </w:tr>
      <w:tr>
        <w:tc>
          <w:tcPr>
            <w:tcW w:type="dxa" w:w="64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5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283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5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5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Отделу культуры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148,44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150,54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150,54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150,54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150,54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150,54</w:t>
            </w:r>
          </w:p>
        </w:tc>
      </w:tr>
      <w:tr>
        <w:tc>
          <w:tcPr>
            <w:tcW w:type="dxa" w:w="64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5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283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5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5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 том числе за счет межбюджетных трансфертов, предусмотренных: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578,46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4 741,96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</w:tr>
      <w:tr>
        <w:tc>
          <w:tcPr>
            <w:tcW w:type="dxa" w:w="64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5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283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5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5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Отделу образования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578,46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4 741,96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</w:tr>
      <w:tr>
        <w:tc>
          <w:tcPr>
            <w:tcW w:type="dxa" w:w="64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5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283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5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5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выпадающие доходы бюджета округа в результате применения мер муниципального регулирования,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</w:tr>
      <w:tr>
        <w:tc>
          <w:tcPr>
            <w:tcW w:type="dxa" w:w="64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5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283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5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5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внебюджетные средства и иные источники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</w:tr>
      <w:tr>
        <w:tc>
          <w:tcPr>
            <w:tcW w:type="dxa" w:w="64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5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283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5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5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средства участников Программы (юридических лиц)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</w:tr>
      <w:tr>
        <w:trPr>
          <w:trHeight w:hRule="atLeast" w:val="322"/>
        </w:trPr>
        <w:tc>
          <w:tcPr>
            <w:tcW w:type="dxa" w:w="646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50000">
            <w:pPr>
              <w:widowControl w:val="0"/>
              <w:ind/>
            </w:pPr>
            <w:r>
              <w:rPr>
                <w:color w:val="D99594"/>
                <w:sz w:val="28"/>
              </w:rPr>
              <w:t>3.2.</w:t>
            </w:r>
          </w:p>
        </w:tc>
        <w:tc>
          <w:tcPr>
            <w:tcW w:type="dxa" w:w="2835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5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Основное мероприятие «Противодействие идеологии терроризма и экстремизма»</w:t>
            </w:r>
          </w:p>
        </w:tc>
        <w:tc>
          <w:tcPr>
            <w:tcW w:type="dxa" w:w="2976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5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1467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153,53</w:t>
            </w:r>
          </w:p>
        </w:tc>
        <w:tc>
          <w:tcPr>
            <w:tcW w:type="dxa" w:w="1418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155,26</w:t>
            </w:r>
          </w:p>
        </w:tc>
        <w:tc>
          <w:tcPr>
            <w:tcW w:type="dxa" w:w="1417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170,26</w:t>
            </w:r>
          </w:p>
        </w:tc>
        <w:tc>
          <w:tcPr>
            <w:tcW w:type="dxa" w:w="1418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201,26</w:t>
            </w:r>
          </w:p>
        </w:tc>
        <w:tc>
          <w:tcPr>
            <w:tcW w:type="dxa" w:w="1417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155,26</w:t>
            </w:r>
          </w:p>
        </w:tc>
        <w:tc>
          <w:tcPr>
            <w:tcW w:type="dxa" w:w="1416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155,26</w:t>
            </w:r>
          </w:p>
        </w:tc>
      </w:tr>
      <w:tr>
        <w:trPr>
          <w:trHeight w:hRule="atLeast" w:val="322"/>
        </w:trP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67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8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7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8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7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</w:tr>
      <w:tr>
        <w:tc>
          <w:tcPr>
            <w:tcW w:type="dxa" w:w="646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5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2835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5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5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средства бюджета округа,</w:t>
            </w:r>
          </w:p>
        </w:tc>
        <w:tc>
          <w:tcPr>
            <w:tcW w:type="dxa" w:w="1467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153,53</w:t>
            </w:r>
          </w:p>
        </w:tc>
        <w:tc>
          <w:tcPr>
            <w:tcW w:type="dxa" w:w="1418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155,26</w:t>
            </w:r>
          </w:p>
        </w:tc>
        <w:tc>
          <w:tcPr>
            <w:tcW w:type="dxa" w:w="1417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170,26</w:t>
            </w:r>
          </w:p>
        </w:tc>
        <w:tc>
          <w:tcPr>
            <w:tcW w:type="dxa" w:w="1418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201,26</w:t>
            </w:r>
          </w:p>
        </w:tc>
        <w:tc>
          <w:tcPr>
            <w:tcW w:type="dxa" w:w="1417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155,26</w:t>
            </w:r>
          </w:p>
        </w:tc>
        <w:tc>
          <w:tcPr>
            <w:tcW w:type="dxa" w:w="1416"/>
            <w:vMerge w:val="restart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155,26</w:t>
            </w:r>
          </w:p>
        </w:tc>
      </w:tr>
      <w:tr>
        <w:tc>
          <w:tcPr>
            <w:tcW w:type="dxa" w:w="64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835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5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 т.ч. предусмотренные:</w:t>
            </w:r>
          </w:p>
        </w:tc>
        <w:tc>
          <w:tcPr>
            <w:tcW w:type="dxa" w:w="1467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8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7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8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7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16"/>
            <w:gridSpan w:val="1"/>
            <w:vMerge w:val="continue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</w:tr>
      <w:tr>
        <w:tc>
          <w:tcPr>
            <w:tcW w:type="dxa" w:w="64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5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283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5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5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администрация округа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153,53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155,26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170,26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201,26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155,26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155,26</w:t>
            </w:r>
          </w:p>
        </w:tc>
      </w:tr>
      <w:tr>
        <w:tc>
          <w:tcPr>
            <w:tcW w:type="dxa" w:w="64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5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283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5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5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 том числе за счет межбюджетных трансфертов, предусмотренных: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100,00</w:t>
            </w:r>
          </w:p>
        </w:tc>
      </w:tr>
      <w:tr>
        <w:tc>
          <w:tcPr>
            <w:tcW w:type="dxa" w:w="64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5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283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5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5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администрация округа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100,00</w:t>
            </w:r>
          </w:p>
        </w:tc>
      </w:tr>
      <w:tr>
        <w:tc>
          <w:tcPr>
            <w:tcW w:type="dxa" w:w="64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5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283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5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5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выпадающие доходы бюджета округа в результате применения мер муниципального регулирования,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</w:tr>
      <w:tr>
        <w:tc>
          <w:tcPr>
            <w:tcW w:type="dxa" w:w="64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5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283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5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5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внебюджетные средства и иные источники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</w:tr>
      <w:tr>
        <w:tc>
          <w:tcPr>
            <w:tcW w:type="dxa" w:w="64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50000">
            <w:pPr>
              <w:widowControl w:val="0"/>
              <w:ind/>
              <w:jc w:val="center"/>
              <w:rPr>
                <w:color w:val="D99594"/>
                <w:sz w:val="28"/>
              </w:rPr>
            </w:pPr>
          </w:p>
        </w:tc>
        <w:tc>
          <w:tcPr>
            <w:tcW w:type="dxa" w:w="283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50000">
            <w:pPr>
              <w:widowControl w:val="0"/>
              <w:ind/>
              <w:jc w:val="both"/>
              <w:rPr>
                <w:color w:val="D99594"/>
                <w:sz w:val="28"/>
              </w:rPr>
            </w:pPr>
          </w:p>
        </w:tc>
        <w:tc>
          <w:tcPr>
            <w:tcW w:type="dxa" w:w="297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50000">
            <w:pPr>
              <w:widowControl w:val="0"/>
              <w:ind/>
              <w:jc w:val="both"/>
            </w:pPr>
            <w:r>
              <w:rPr>
                <w:color w:val="D99594"/>
                <w:sz w:val="28"/>
              </w:rPr>
              <w:t>средства участников Программы (юридических лиц)</w:t>
            </w:r>
          </w:p>
        </w:tc>
        <w:tc>
          <w:tcPr>
            <w:tcW w:type="dxa" w:w="146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  <w:tc>
          <w:tcPr>
            <w:tcW w:type="dxa" w:w="1416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50000">
            <w:pPr>
              <w:widowControl w:val="0"/>
              <w:ind/>
              <w:jc w:val="center"/>
            </w:pPr>
            <w:r>
              <w:rPr>
                <w:color w:val="D99594"/>
                <w:sz w:val="28"/>
              </w:rPr>
              <w:t>0,00</w:t>
            </w:r>
          </w:p>
        </w:tc>
      </w:tr>
    </w:tbl>
    <w:p w14:paraId="CA050000">
      <w:pPr>
        <w:widowControl w:val="0"/>
        <w:spacing w:line="240" w:lineRule="exact"/>
        <w:ind w:firstLine="0" w:left="9912" w:right="0"/>
        <w:jc w:val="center"/>
        <w:rPr>
          <w:color w:val="C00000"/>
          <w:sz w:val="28"/>
        </w:rPr>
      </w:pPr>
    </w:p>
    <w:p w14:paraId="CB050000">
      <w:pPr>
        <w:widowControl w:val="0"/>
        <w:spacing w:line="240" w:lineRule="exact"/>
        <w:ind w:firstLine="0" w:left="9912" w:right="0"/>
        <w:jc w:val="center"/>
        <w:rPr>
          <w:color w:val="984806"/>
          <w:sz w:val="28"/>
        </w:rPr>
      </w:pPr>
    </w:p>
    <w:p w14:paraId="CC050000">
      <w:pPr>
        <w:widowControl w:val="0"/>
        <w:spacing w:line="240" w:lineRule="exact"/>
        <w:ind w:firstLine="0" w:left="9912" w:right="0"/>
        <w:jc w:val="center"/>
        <w:rPr>
          <w:color w:val="984806"/>
          <w:sz w:val="28"/>
        </w:rPr>
      </w:pPr>
    </w:p>
    <w:p w14:paraId="CD050000">
      <w:pPr>
        <w:widowControl w:val="0"/>
        <w:spacing w:line="240" w:lineRule="exact"/>
        <w:ind w:firstLine="0" w:left="9912" w:right="0"/>
        <w:jc w:val="center"/>
        <w:rPr>
          <w:color w:val="984806"/>
          <w:sz w:val="28"/>
        </w:rPr>
      </w:pPr>
    </w:p>
    <w:p w14:paraId="CE050000">
      <w:pPr>
        <w:widowControl w:val="0"/>
        <w:spacing w:line="240" w:lineRule="exact"/>
        <w:ind w:firstLine="0" w:left="9912" w:right="0"/>
        <w:jc w:val="center"/>
        <w:rPr>
          <w:color w:val="984806"/>
          <w:sz w:val="28"/>
        </w:rPr>
      </w:pPr>
    </w:p>
    <w:p w14:paraId="CF050000">
      <w:pPr>
        <w:widowControl w:val="0"/>
        <w:spacing w:line="240" w:lineRule="exact"/>
        <w:ind w:firstLine="0" w:left="9912" w:right="0"/>
        <w:jc w:val="center"/>
        <w:rPr>
          <w:color w:val="FF0000"/>
          <w:sz w:val="28"/>
        </w:rPr>
      </w:pPr>
    </w:p>
    <w:p w14:paraId="D0050000">
      <w:pPr>
        <w:widowControl w:val="0"/>
        <w:spacing w:line="240" w:lineRule="exact"/>
        <w:ind w:firstLine="0" w:left="9912" w:right="0"/>
        <w:jc w:val="center"/>
        <w:rPr>
          <w:color w:val="FF0000"/>
          <w:sz w:val="28"/>
        </w:rPr>
      </w:pPr>
    </w:p>
    <w:p w14:paraId="D1050000">
      <w:pPr>
        <w:widowControl w:val="0"/>
        <w:spacing w:line="240" w:lineRule="exact"/>
        <w:ind w:firstLine="0" w:left="9912" w:right="0"/>
        <w:jc w:val="center"/>
        <w:rPr>
          <w:color w:val="FF0000"/>
          <w:sz w:val="28"/>
        </w:rPr>
      </w:pPr>
    </w:p>
    <w:p w14:paraId="D2050000">
      <w:pPr>
        <w:widowControl w:val="0"/>
        <w:spacing w:line="240" w:lineRule="exact"/>
        <w:ind w:firstLine="0" w:left="9912" w:right="0"/>
        <w:jc w:val="center"/>
        <w:rPr>
          <w:color w:val="FF0000"/>
          <w:sz w:val="28"/>
        </w:rPr>
      </w:pPr>
    </w:p>
    <w:p w14:paraId="D3050000">
      <w:pPr>
        <w:widowControl w:val="0"/>
        <w:spacing w:line="240" w:lineRule="exact"/>
        <w:ind w:firstLine="0" w:left="9912" w:right="0"/>
        <w:jc w:val="center"/>
        <w:rPr>
          <w:color w:val="FF0000"/>
          <w:sz w:val="28"/>
        </w:rPr>
      </w:pPr>
    </w:p>
    <w:p w14:paraId="D4050000">
      <w:pPr>
        <w:widowControl w:val="0"/>
        <w:spacing w:line="240" w:lineRule="exact"/>
        <w:ind w:firstLine="0" w:left="9912" w:right="0"/>
        <w:jc w:val="center"/>
        <w:rPr>
          <w:color w:val="984806"/>
          <w:sz w:val="28"/>
        </w:rPr>
      </w:pPr>
      <w:r>
        <w:rPr>
          <w:color w:val="984806"/>
          <w:sz w:val="28"/>
        </w:rPr>
        <w:t>Приложение 3</w:t>
      </w:r>
    </w:p>
    <w:p w14:paraId="D5050000">
      <w:pPr>
        <w:widowControl w:val="0"/>
        <w:spacing w:line="240" w:lineRule="exact"/>
        <w:ind w:firstLine="0" w:left="9912" w:right="0"/>
        <w:jc w:val="center"/>
        <w:rPr>
          <w:color w:val="984806"/>
          <w:sz w:val="28"/>
        </w:rPr>
      </w:pPr>
    </w:p>
    <w:p w14:paraId="D6050000">
      <w:pPr>
        <w:widowControl w:val="0"/>
        <w:spacing w:line="240" w:lineRule="exact"/>
        <w:ind w:firstLine="0" w:left="9912" w:right="0"/>
        <w:jc w:val="center"/>
        <w:rPr>
          <w:color w:val="984806"/>
          <w:sz w:val="28"/>
        </w:rPr>
      </w:pPr>
      <w:r>
        <w:rPr>
          <w:color w:val="984806"/>
          <w:sz w:val="28"/>
        </w:rPr>
        <w:t>к муниципальной программе</w:t>
      </w:r>
    </w:p>
    <w:p w14:paraId="D7050000">
      <w:pPr>
        <w:widowControl w:val="0"/>
        <w:spacing w:line="240" w:lineRule="exact"/>
        <w:ind w:firstLine="0" w:left="9912" w:right="0"/>
        <w:jc w:val="center"/>
        <w:rPr>
          <w:color w:val="984806"/>
          <w:sz w:val="28"/>
        </w:rPr>
      </w:pPr>
      <w:r>
        <w:rPr>
          <w:color w:val="984806"/>
          <w:sz w:val="28"/>
        </w:rPr>
        <w:t>Андроповского муниципального округа Ставропольского края «Обеспечение безопасности жизнедеятельности населения»</w:t>
      </w:r>
    </w:p>
    <w:p w14:paraId="D8050000">
      <w:pPr>
        <w:widowControl w:val="0"/>
        <w:spacing w:line="240" w:lineRule="exact"/>
        <w:ind w:firstLine="0" w:left="9912" w:right="0"/>
        <w:jc w:val="center"/>
        <w:rPr>
          <w:color w:val="984806"/>
          <w:sz w:val="28"/>
        </w:rPr>
      </w:pPr>
    </w:p>
    <w:p w14:paraId="D9050000">
      <w:pPr>
        <w:widowControl w:val="0"/>
        <w:ind w:firstLine="0" w:left="9202" w:right="0"/>
        <w:jc w:val="center"/>
        <w:rPr>
          <w:color w:val="984806"/>
          <w:sz w:val="28"/>
        </w:rPr>
      </w:pPr>
      <w:r>
        <w:rPr>
          <w:color w:val="984806"/>
          <w:sz w:val="28"/>
        </w:rPr>
        <w:t>(в редакции постановления администрации</w:t>
      </w:r>
    </w:p>
    <w:p w14:paraId="DA050000">
      <w:pPr>
        <w:widowControl w:val="0"/>
        <w:ind w:firstLine="0" w:left="9202" w:right="0"/>
        <w:jc w:val="center"/>
        <w:rPr>
          <w:color w:val="984806"/>
          <w:sz w:val="28"/>
        </w:rPr>
      </w:pPr>
      <w:r>
        <w:rPr>
          <w:color w:val="984806"/>
          <w:sz w:val="28"/>
        </w:rPr>
        <w:t>Андроповского муниципального округа</w:t>
      </w:r>
    </w:p>
    <w:p w14:paraId="DB050000">
      <w:pPr>
        <w:widowControl w:val="0"/>
        <w:ind w:firstLine="0" w:left="9202" w:right="0"/>
        <w:jc w:val="center"/>
        <w:rPr>
          <w:color w:val="984806"/>
          <w:sz w:val="28"/>
        </w:rPr>
      </w:pPr>
      <w:r>
        <w:rPr>
          <w:color w:val="984806"/>
          <w:sz w:val="28"/>
        </w:rPr>
        <w:t>Ставропольского края</w:t>
      </w:r>
    </w:p>
    <w:p w14:paraId="DC050000">
      <w:pPr>
        <w:widowControl w:val="0"/>
        <w:numPr>
          <w:ilvl w:val="0"/>
          <w:numId w:val="0"/>
        </w:numPr>
        <w:ind w:firstLine="0" w:left="9202" w:right="0"/>
        <w:jc w:val="center"/>
        <w:outlineLvl w:val="2"/>
        <w:rPr>
          <w:color w:val="984806"/>
          <w:sz w:val="28"/>
        </w:rPr>
      </w:pPr>
      <w:r>
        <w:rPr>
          <w:color w:val="984806"/>
          <w:sz w:val="28"/>
        </w:rPr>
        <w:t>от 02 июня 2023 г. № 348)</w:t>
      </w:r>
    </w:p>
    <w:p w14:paraId="DD050000">
      <w:pPr>
        <w:ind/>
        <w:jc w:val="right"/>
        <w:rPr>
          <w:color w:val="984806"/>
          <w:sz w:val="28"/>
        </w:rPr>
      </w:pPr>
    </w:p>
    <w:p w14:paraId="DE050000">
      <w:pPr>
        <w:ind/>
        <w:jc w:val="right"/>
        <w:rPr>
          <w:color w:val="984806"/>
          <w:sz w:val="28"/>
        </w:rPr>
      </w:pPr>
      <w:r>
        <w:rPr>
          <w:color w:val="984806"/>
          <w:sz w:val="28"/>
        </w:rPr>
        <w:t>Таблица 4</w:t>
      </w:r>
    </w:p>
    <w:p w14:paraId="DF050000">
      <w:pPr>
        <w:ind/>
        <w:jc w:val="center"/>
        <w:rPr>
          <w:color w:val="984806"/>
          <w:sz w:val="28"/>
        </w:rPr>
      </w:pPr>
      <w:r>
        <w:rPr>
          <w:color w:val="984806"/>
          <w:sz w:val="28"/>
        </w:rPr>
        <w:t>СВЕДЕНИЯ</w:t>
      </w:r>
    </w:p>
    <w:p w14:paraId="E0050000">
      <w:pPr>
        <w:ind/>
        <w:jc w:val="center"/>
        <w:rPr>
          <w:color w:val="984806"/>
          <w:sz w:val="28"/>
        </w:rPr>
      </w:pPr>
      <w:r>
        <w:rPr>
          <w:color w:val="984806"/>
          <w:sz w:val="28"/>
        </w:rPr>
        <w:t>о весовых коэффициентах, присвоенных целям Программы задачам подпрограмм Программы</w:t>
      </w:r>
    </w:p>
    <w:p w14:paraId="E1050000">
      <w:pPr>
        <w:widowControl w:val="0"/>
        <w:spacing w:line="240" w:lineRule="exact"/>
        <w:ind/>
        <w:jc w:val="center"/>
        <w:rPr>
          <w:color w:val="984806"/>
          <w:sz w:val="28"/>
        </w:rPr>
      </w:pPr>
    </w:p>
    <w:tbl>
      <w:tblPr>
        <w:tblStyle w:val="Style_4"/>
        <w:tblW w:type="auto" w:w="0"/>
        <w:tblInd w:type="dxa" w:w="-176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993"/>
        <w:gridCol w:w="5387"/>
        <w:gridCol w:w="1417"/>
        <w:gridCol w:w="1418"/>
        <w:gridCol w:w="1559"/>
        <w:gridCol w:w="1559"/>
        <w:gridCol w:w="1559"/>
        <w:gridCol w:w="1418"/>
      </w:tblGrid>
      <w:tr>
        <w:tc>
          <w:tcPr>
            <w:tcW w:type="dxa" w:w="9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50000">
            <w:pPr>
              <w:ind/>
              <w:jc w:val="center"/>
            </w:pPr>
            <w:r>
              <w:rPr>
                <w:color w:val="984806"/>
                <w:sz w:val="28"/>
              </w:rPr>
              <w:t xml:space="preserve">№ </w:t>
            </w:r>
            <w:r>
              <w:rPr>
                <w:color w:val="984806"/>
                <w:sz w:val="28"/>
              </w:rPr>
              <w:t>п/п</w:t>
            </w:r>
          </w:p>
        </w:tc>
        <w:tc>
          <w:tcPr>
            <w:tcW w:type="dxa" w:w="538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50000">
            <w:pPr>
              <w:ind/>
              <w:jc w:val="center"/>
            </w:pPr>
            <w:r>
              <w:rPr>
                <w:color w:val="984806"/>
                <w:sz w:val="28"/>
              </w:rPr>
              <w:t>Цели Программы и задачи подпрограмм Программы</w:t>
            </w:r>
          </w:p>
        </w:tc>
        <w:tc>
          <w:tcPr>
            <w:tcW w:type="dxa" w:w="8930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50000">
            <w:pPr>
              <w:ind/>
              <w:jc w:val="center"/>
            </w:pPr>
            <w:r>
              <w:rPr>
                <w:color w:val="984806"/>
                <w:sz w:val="28"/>
              </w:rPr>
              <w:t>Значения весовых коэффициентов, присвоенных целям Программы и задачам подпрограмм Программы по годам</w:t>
            </w:r>
          </w:p>
        </w:tc>
      </w:tr>
      <w:tr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538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50000">
            <w:pPr>
              <w:ind/>
              <w:jc w:val="center"/>
            </w:pPr>
            <w:r>
              <w:rPr>
                <w:color w:val="984806"/>
                <w:sz w:val="28"/>
              </w:rPr>
              <w:t>2021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50000">
            <w:pPr>
              <w:ind/>
              <w:jc w:val="center"/>
            </w:pPr>
            <w:r>
              <w:rPr>
                <w:color w:val="984806"/>
                <w:sz w:val="28"/>
              </w:rPr>
              <w:t>2022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50000">
            <w:pPr>
              <w:ind/>
              <w:jc w:val="center"/>
              <w:rPr>
                <w:color w:val="984806"/>
                <w:sz w:val="28"/>
              </w:rPr>
            </w:pPr>
            <w:r>
              <w:rPr>
                <w:color w:val="984806"/>
                <w:sz w:val="28"/>
              </w:rPr>
              <w:t>2023</w:t>
            </w:r>
          </w:p>
          <w:p w14:paraId="E8050000">
            <w:pPr>
              <w:ind/>
              <w:jc w:val="center"/>
              <w:rPr>
                <w:color w:val="984806"/>
                <w:sz w:val="28"/>
              </w:rPr>
            </w:pP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50000">
            <w:pPr>
              <w:ind/>
              <w:jc w:val="center"/>
              <w:rPr>
                <w:color w:val="984806"/>
                <w:sz w:val="28"/>
              </w:rPr>
            </w:pPr>
            <w:r>
              <w:rPr>
                <w:color w:val="984806"/>
                <w:sz w:val="28"/>
              </w:rPr>
              <w:t>2024</w:t>
            </w:r>
          </w:p>
          <w:p w14:paraId="EA050000">
            <w:pPr>
              <w:ind/>
              <w:jc w:val="center"/>
              <w:rPr>
                <w:color w:val="984806"/>
                <w:sz w:val="28"/>
              </w:rPr>
            </w:pP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50000">
            <w:pPr>
              <w:ind/>
              <w:jc w:val="center"/>
            </w:pPr>
            <w:r>
              <w:rPr>
                <w:color w:val="984806"/>
                <w:sz w:val="28"/>
              </w:rPr>
              <w:t>2025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50000">
            <w:pPr>
              <w:ind/>
              <w:jc w:val="center"/>
              <w:rPr>
                <w:color w:val="984806"/>
                <w:sz w:val="28"/>
              </w:rPr>
            </w:pPr>
            <w:r>
              <w:rPr>
                <w:color w:val="984806"/>
                <w:sz w:val="28"/>
              </w:rPr>
              <w:t>2026</w:t>
            </w:r>
          </w:p>
          <w:p w14:paraId="ED050000">
            <w:pPr>
              <w:ind/>
              <w:jc w:val="center"/>
              <w:rPr>
                <w:color w:val="984806"/>
                <w:sz w:val="28"/>
              </w:rPr>
            </w:pPr>
          </w:p>
        </w:tc>
      </w:tr>
    </w:tbl>
    <w:p w14:paraId="EE050000">
      <w:pPr>
        <w:rPr>
          <w:color w:val="984806"/>
          <w:sz w:val="5"/>
        </w:rPr>
      </w:pPr>
    </w:p>
    <w:tbl>
      <w:tblPr>
        <w:tblStyle w:val="Style_4"/>
        <w:tblW w:type="auto" w:w="0"/>
        <w:tblInd w:type="dxa" w:w="-176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992"/>
        <w:gridCol w:w="5387"/>
        <w:gridCol w:w="1417"/>
        <w:gridCol w:w="1419"/>
        <w:gridCol w:w="1559"/>
        <w:gridCol w:w="1559"/>
        <w:gridCol w:w="1559"/>
        <w:gridCol w:w="1418"/>
      </w:tblGrid>
      <w:tr>
        <w:trPr>
          <w:tblHeader/>
        </w:trPr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50000">
            <w:pPr>
              <w:ind/>
              <w:jc w:val="center"/>
            </w:pPr>
            <w:r>
              <w:rPr>
                <w:color w:val="984806"/>
                <w:sz w:val="28"/>
              </w:rPr>
              <w:t>1</w:t>
            </w:r>
          </w:p>
        </w:tc>
        <w:tc>
          <w:tcPr>
            <w:tcW w:type="dxa" w:w="5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50000">
            <w:pPr>
              <w:widowControl w:val="0"/>
              <w:ind/>
              <w:jc w:val="center"/>
            </w:pPr>
            <w:r>
              <w:rPr>
                <w:color w:val="984806"/>
                <w:sz w:val="28"/>
              </w:rPr>
              <w:t>2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50000">
            <w:pPr>
              <w:ind/>
              <w:jc w:val="center"/>
            </w:pPr>
            <w:r>
              <w:rPr>
                <w:color w:val="984806"/>
                <w:sz w:val="28"/>
              </w:rPr>
              <w:t>3</w:t>
            </w:r>
          </w:p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50000">
            <w:pPr>
              <w:ind/>
              <w:jc w:val="center"/>
            </w:pPr>
            <w:r>
              <w:rPr>
                <w:color w:val="984806"/>
                <w:sz w:val="28"/>
              </w:rPr>
              <w:t>4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50000">
            <w:pPr>
              <w:ind/>
              <w:jc w:val="center"/>
            </w:pPr>
            <w:r>
              <w:rPr>
                <w:color w:val="984806"/>
                <w:sz w:val="28"/>
              </w:rPr>
              <w:t>5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50000">
            <w:pPr>
              <w:ind/>
              <w:jc w:val="center"/>
              <w:rPr>
                <w:color w:val="984806"/>
                <w:sz w:val="28"/>
              </w:rPr>
            </w:pP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50000">
            <w:pPr>
              <w:ind/>
              <w:jc w:val="center"/>
              <w:rPr>
                <w:color w:val="984806"/>
                <w:sz w:val="28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50000">
            <w:pPr>
              <w:ind/>
              <w:jc w:val="center"/>
              <w:rPr>
                <w:color w:val="984806"/>
                <w:sz w:val="28"/>
              </w:rPr>
            </w:pPr>
          </w:p>
        </w:tc>
      </w:tr>
      <w:tr>
        <w:tc>
          <w:tcPr>
            <w:tcW w:type="dxa" w:w="992"/>
            <w:tcBorders>
              <w:top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50000">
            <w:pPr>
              <w:ind/>
              <w:jc w:val="center"/>
            </w:pPr>
            <w:r>
              <w:rPr>
                <w:color w:val="984806"/>
                <w:sz w:val="28"/>
              </w:rPr>
              <w:t>1.</w:t>
            </w:r>
          </w:p>
        </w:tc>
        <w:tc>
          <w:tcPr>
            <w:tcW w:type="dxa" w:w="5387"/>
            <w:tcBorders>
              <w:top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50000">
            <w:pPr>
              <w:widowControl w:val="0"/>
              <w:ind/>
              <w:jc w:val="both"/>
            </w:pPr>
            <w:r>
              <w:rPr>
                <w:color w:val="984806"/>
                <w:sz w:val="28"/>
              </w:rPr>
              <w:t xml:space="preserve">Цель Программы: </w:t>
            </w:r>
            <w:r>
              <w:rPr>
                <w:color w:val="984806"/>
                <w:sz w:val="28"/>
              </w:rPr>
              <w:t>создание безопасной среды проживания на территории Андроповского муниципального округа  Ставропольского края</w:t>
            </w:r>
          </w:p>
        </w:tc>
        <w:tc>
          <w:tcPr>
            <w:tcW w:type="dxa" w:w="1417"/>
            <w:tcBorders>
              <w:top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50000">
            <w:pPr>
              <w:ind/>
              <w:jc w:val="center"/>
            </w:pPr>
            <w:r>
              <w:rPr>
                <w:color w:val="984806"/>
                <w:sz w:val="28"/>
              </w:rPr>
              <w:t>1,0</w:t>
            </w:r>
          </w:p>
        </w:tc>
        <w:tc>
          <w:tcPr>
            <w:tcW w:type="dxa" w:w="1419"/>
            <w:tcBorders>
              <w:top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50000">
            <w:pPr>
              <w:ind/>
              <w:jc w:val="center"/>
            </w:pPr>
            <w:r>
              <w:rPr>
                <w:color w:val="984806"/>
                <w:sz w:val="28"/>
              </w:rPr>
              <w:t>1,0</w:t>
            </w:r>
          </w:p>
        </w:tc>
        <w:tc>
          <w:tcPr>
            <w:tcW w:type="dxa" w:w="1559"/>
            <w:tcBorders>
              <w:top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50000">
            <w:pPr>
              <w:ind/>
              <w:jc w:val="center"/>
            </w:pPr>
            <w:r>
              <w:rPr>
                <w:color w:val="984806"/>
                <w:sz w:val="28"/>
              </w:rPr>
              <w:t>1,0</w:t>
            </w:r>
          </w:p>
        </w:tc>
        <w:tc>
          <w:tcPr>
            <w:tcW w:type="dxa" w:w="1559"/>
            <w:tcBorders>
              <w:top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50000">
            <w:pPr>
              <w:ind/>
              <w:jc w:val="center"/>
            </w:pPr>
            <w:r>
              <w:rPr>
                <w:color w:val="984806"/>
                <w:sz w:val="28"/>
              </w:rPr>
              <w:t>1,0</w:t>
            </w:r>
          </w:p>
        </w:tc>
        <w:tc>
          <w:tcPr>
            <w:tcW w:type="dxa" w:w="1559"/>
            <w:tcBorders>
              <w:top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50000">
            <w:pPr>
              <w:ind/>
              <w:jc w:val="center"/>
            </w:pPr>
            <w:r>
              <w:rPr>
                <w:color w:val="984806"/>
                <w:sz w:val="28"/>
              </w:rPr>
              <w:t>1,0</w:t>
            </w:r>
          </w:p>
        </w:tc>
        <w:tc>
          <w:tcPr>
            <w:tcW w:type="dxa" w:w="1418"/>
            <w:tcBorders>
              <w:top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50000">
            <w:pPr>
              <w:ind/>
              <w:jc w:val="center"/>
            </w:pPr>
            <w:r>
              <w:rPr>
                <w:color w:val="984806"/>
                <w:sz w:val="28"/>
              </w:rPr>
              <w:t>1,0</w:t>
            </w:r>
          </w:p>
        </w:tc>
      </w:tr>
      <w:tr>
        <w:tc>
          <w:tcPr>
            <w:tcW w:type="dxa" w:w="992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50000">
            <w:pPr>
              <w:ind/>
              <w:jc w:val="center"/>
            </w:pPr>
            <w:r>
              <w:rPr>
                <w:color w:val="984806"/>
                <w:sz w:val="28"/>
              </w:rPr>
              <w:t>1.1.</w:t>
            </w:r>
          </w:p>
        </w:tc>
        <w:tc>
          <w:tcPr>
            <w:tcW w:type="dxa" w:w="538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60000">
            <w:pPr>
              <w:widowControl w:val="0"/>
              <w:ind/>
              <w:jc w:val="both"/>
            </w:pPr>
            <w:r>
              <w:rPr>
                <w:color w:val="984806"/>
                <w:sz w:val="28"/>
              </w:rPr>
              <w:t>Подпрограмма «Снижение рисков и повышение уровня защищенности населения и территории округа от угроз чрезвычайных ситуаций природного и техногенного характера»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60000">
            <w:pPr>
              <w:ind/>
              <w:jc w:val="center"/>
              <w:rPr>
                <w:color w:val="984806"/>
                <w:sz w:val="28"/>
              </w:rPr>
            </w:pPr>
          </w:p>
        </w:tc>
        <w:tc>
          <w:tcPr>
            <w:tcW w:type="dxa" w:w="141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60000">
            <w:pPr>
              <w:ind/>
              <w:jc w:val="center"/>
              <w:rPr>
                <w:color w:val="984806"/>
                <w:sz w:val="28"/>
              </w:rPr>
            </w:pPr>
          </w:p>
        </w:tc>
        <w:tc>
          <w:tcPr>
            <w:tcW w:type="dxa" w:w="155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60000">
            <w:pPr>
              <w:ind/>
              <w:jc w:val="center"/>
              <w:rPr>
                <w:color w:val="984806"/>
                <w:sz w:val="28"/>
              </w:rPr>
            </w:pPr>
          </w:p>
        </w:tc>
        <w:tc>
          <w:tcPr>
            <w:tcW w:type="dxa" w:w="155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60000">
            <w:pPr>
              <w:ind/>
              <w:jc w:val="center"/>
              <w:rPr>
                <w:color w:val="984806"/>
                <w:sz w:val="28"/>
              </w:rPr>
            </w:pPr>
          </w:p>
        </w:tc>
        <w:tc>
          <w:tcPr>
            <w:tcW w:type="dxa" w:w="155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60000">
            <w:pPr>
              <w:ind/>
              <w:jc w:val="center"/>
              <w:rPr>
                <w:color w:val="984806"/>
                <w:sz w:val="28"/>
              </w:rPr>
            </w:pP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60000">
            <w:pPr>
              <w:ind/>
              <w:jc w:val="center"/>
              <w:rPr>
                <w:color w:val="984806"/>
                <w:sz w:val="28"/>
              </w:rPr>
            </w:pPr>
          </w:p>
        </w:tc>
      </w:tr>
      <w:tr>
        <w:tc>
          <w:tcPr>
            <w:tcW w:type="dxa" w:w="992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60000">
            <w:pPr>
              <w:ind/>
              <w:jc w:val="center"/>
            </w:pPr>
            <w:r>
              <w:rPr>
                <w:color w:val="984806"/>
                <w:sz w:val="28"/>
              </w:rPr>
              <w:t>1.1.1</w:t>
            </w:r>
          </w:p>
        </w:tc>
        <w:tc>
          <w:tcPr>
            <w:tcW w:type="dxa" w:w="538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60000">
            <w:pPr>
              <w:widowControl w:val="0"/>
              <w:tabs>
                <w:tab w:leader="none" w:pos="1110" w:val="left"/>
              </w:tabs>
              <w:ind/>
              <w:jc w:val="both"/>
            </w:pPr>
            <w:r>
              <w:rPr>
                <w:color w:val="984806"/>
                <w:sz w:val="28"/>
              </w:rPr>
              <w:t xml:space="preserve">Задача 1 подпрограммы 1: </w:t>
            </w:r>
            <w:r>
              <w:rPr>
                <w:color w:val="984806"/>
                <w:sz w:val="28"/>
              </w:rPr>
              <w:t>разработка и осуществление  комплекса превентивных мероприятий, направленных на максимально возможное предотвращение чрезвычайных ситуаций природного и техногенного характера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60000">
            <w:pPr>
              <w:ind/>
              <w:jc w:val="center"/>
            </w:pPr>
            <w:r>
              <w:rPr>
                <w:color w:val="984806"/>
                <w:sz w:val="28"/>
              </w:rPr>
              <w:t>0,1</w:t>
            </w:r>
          </w:p>
        </w:tc>
        <w:tc>
          <w:tcPr>
            <w:tcW w:type="dxa" w:w="141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60000">
            <w:pPr>
              <w:ind/>
              <w:jc w:val="center"/>
            </w:pPr>
            <w:r>
              <w:rPr>
                <w:color w:val="984806"/>
                <w:sz w:val="28"/>
              </w:rPr>
              <w:t>0,1</w:t>
            </w:r>
          </w:p>
        </w:tc>
        <w:tc>
          <w:tcPr>
            <w:tcW w:type="dxa" w:w="155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60000">
            <w:pPr>
              <w:ind/>
              <w:jc w:val="center"/>
            </w:pPr>
            <w:r>
              <w:rPr>
                <w:color w:val="984806"/>
                <w:sz w:val="28"/>
              </w:rPr>
              <w:t>0,44</w:t>
            </w:r>
          </w:p>
        </w:tc>
        <w:tc>
          <w:tcPr>
            <w:tcW w:type="dxa" w:w="155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60000">
            <w:pPr>
              <w:ind/>
              <w:jc w:val="center"/>
            </w:pPr>
            <w:r>
              <w:rPr>
                <w:color w:val="984806"/>
                <w:sz w:val="28"/>
              </w:rPr>
              <w:t>0,44</w:t>
            </w:r>
          </w:p>
        </w:tc>
        <w:tc>
          <w:tcPr>
            <w:tcW w:type="dxa" w:w="155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60000">
            <w:pPr>
              <w:ind/>
              <w:jc w:val="center"/>
            </w:pPr>
            <w:r>
              <w:rPr>
                <w:color w:val="984806"/>
                <w:sz w:val="28"/>
              </w:rPr>
              <w:t>0,44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60000">
            <w:pPr>
              <w:ind/>
              <w:jc w:val="center"/>
            </w:pPr>
            <w:r>
              <w:rPr>
                <w:color w:val="984806"/>
                <w:sz w:val="28"/>
              </w:rPr>
              <w:t>0,44</w:t>
            </w:r>
          </w:p>
        </w:tc>
      </w:tr>
      <w:tr>
        <w:tc>
          <w:tcPr>
            <w:tcW w:type="dxa" w:w="992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60000">
            <w:pPr>
              <w:ind/>
              <w:jc w:val="center"/>
            </w:pPr>
            <w:r>
              <w:rPr>
                <w:color w:val="984806"/>
                <w:sz w:val="28"/>
              </w:rPr>
              <w:t>1.1.2</w:t>
            </w:r>
          </w:p>
        </w:tc>
        <w:tc>
          <w:tcPr>
            <w:tcW w:type="dxa" w:w="538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60000">
            <w:pPr>
              <w:widowControl w:val="0"/>
              <w:tabs>
                <w:tab w:leader="none" w:pos="1110" w:val="left"/>
              </w:tabs>
              <w:ind/>
              <w:jc w:val="both"/>
            </w:pPr>
            <w:r>
              <w:rPr>
                <w:color w:val="984806"/>
                <w:sz w:val="28"/>
              </w:rPr>
              <w:t xml:space="preserve">Задача 2 подпрограммы 1: </w:t>
            </w:r>
            <w:r>
              <w:rPr>
                <w:color w:val="984806"/>
                <w:sz w:val="28"/>
              </w:rPr>
              <w:t>разработка и осуществление  комплекса превентивных мероприятий, направленных на повышение готовности, расширение возможности (спектра применения) аварийно- спасательных сил и развитие единой дежурно - диспетчерской службы и Системы обеспечения вызова экстренных оперативных служб по единому номеру «112»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60000">
            <w:pPr>
              <w:ind/>
              <w:jc w:val="center"/>
            </w:pPr>
            <w:r>
              <w:rPr>
                <w:color w:val="984806"/>
                <w:sz w:val="28"/>
              </w:rPr>
              <w:t>0,56</w:t>
            </w:r>
          </w:p>
        </w:tc>
        <w:tc>
          <w:tcPr>
            <w:tcW w:type="dxa" w:w="141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60000">
            <w:pPr>
              <w:ind/>
              <w:jc w:val="center"/>
            </w:pPr>
            <w:r>
              <w:rPr>
                <w:color w:val="984806"/>
                <w:sz w:val="28"/>
              </w:rPr>
              <w:t>0,56</w:t>
            </w:r>
          </w:p>
        </w:tc>
        <w:tc>
          <w:tcPr>
            <w:tcW w:type="dxa" w:w="155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60000">
            <w:pPr>
              <w:ind/>
              <w:jc w:val="center"/>
            </w:pPr>
            <w:r>
              <w:rPr>
                <w:color w:val="984806"/>
                <w:sz w:val="28"/>
              </w:rPr>
              <w:t>0,56</w:t>
            </w:r>
          </w:p>
        </w:tc>
        <w:tc>
          <w:tcPr>
            <w:tcW w:type="dxa" w:w="155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60000">
            <w:pPr>
              <w:ind/>
              <w:jc w:val="center"/>
            </w:pPr>
            <w:r>
              <w:rPr>
                <w:color w:val="984806"/>
                <w:sz w:val="28"/>
              </w:rPr>
              <w:t>0,56</w:t>
            </w:r>
          </w:p>
        </w:tc>
        <w:tc>
          <w:tcPr>
            <w:tcW w:type="dxa" w:w="155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60000">
            <w:pPr>
              <w:ind/>
              <w:jc w:val="center"/>
            </w:pPr>
            <w:r>
              <w:rPr>
                <w:color w:val="984806"/>
                <w:sz w:val="28"/>
              </w:rPr>
              <w:t>0,56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60000">
            <w:pPr>
              <w:ind/>
              <w:jc w:val="center"/>
            </w:pPr>
            <w:r>
              <w:rPr>
                <w:color w:val="984806"/>
                <w:sz w:val="28"/>
              </w:rPr>
              <w:t>0,56</w:t>
            </w:r>
          </w:p>
        </w:tc>
      </w:tr>
      <w:tr>
        <w:tc>
          <w:tcPr>
            <w:tcW w:type="dxa" w:w="992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60000">
            <w:pPr>
              <w:ind/>
              <w:jc w:val="center"/>
            </w:pPr>
            <w:r>
              <w:rPr>
                <w:color w:val="984806"/>
                <w:sz w:val="28"/>
              </w:rPr>
              <w:t>1.2.</w:t>
            </w:r>
          </w:p>
        </w:tc>
        <w:tc>
          <w:tcPr>
            <w:tcW w:type="dxa" w:w="538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60000">
            <w:pPr>
              <w:widowControl w:val="0"/>
              <w:tabs>
                <w:tab w:leader="none" w:pos="1110" w:val="left"/>
              </w:tabs>
              <w:ind/>
              <w:jc w:val="both"/>
            </w:pPr>
            <w:r>
              <w:rPr>
                <w:color w:val="984806"/>
                <w:sz w:val="28"/>
              </w:rPr>
              <w:t>Подпрограмма «Система комплексного обеспечения безопасности жизнедеятельности, профилактика терроризма и экстремизма»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60000">
            <w:pPr>
              <w:ind/>
              <w:jc w:val="center"/>
              <w:rPr>
                <w:color w:val="984806"/>
                <w:sz w:val="28"/>
              </w:rPr>
            </w:pPr>
          </w:p>
        </w:tc>
        <w:tc>
          <w:tcPr>
            <w:tcW w:type="dxa" w:w="141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60000">
            <w:pPr>
              <w:ind/>
              <w:jc w:val="center"/>
              <w:rPr>
                <w:color w:val="984806"/>
                <w:sz w:val="28"/>
              </w:rPr>
            </w:pPr>
          </w:p>
        </w:tc>
        <w:tc>
          <w:tcPr>
            <w:tcW w:type="dxa" w:w="155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60000">
            <w:pPr>
              <w:ind/>
              <w:jc w:val="center"/>
              <w:rPr>
                <w:color w:val="984806"/>
                <w:sz w:val="28"/>
              </w:rPr>
            </w:pPr>
          </w:p>
        </w:tc>
        <w:tc>
          <w:tcPr>
            <w:tcW w:type="dxa" w:w="155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60000">
            <w:pPr>
              <w:ind/>
              <w:jc w:val="center"/>
              <w:rPr>
                <w:color w:val="984806"/>
                <w:sz w:val="28"/>
              </w:rPr>
            </w:pPr>
          </w:p>
        </w:tc>
        <w:tc>
          <w:tcPr>
            <w:tcW w:type="dxa" w:w="155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60000">
            <w:pPr>
              <w:ind/>
              <w:jc w:val="center"/>
              <w:rPr>
                <w:color w:val="984806"/>
                <w:sz w:val="28"/>
              </w:rPr>
            </w:pP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60000">
            <w:pPr>
              <w:ind/>
              <w:jc w:val="center"/>
              <w:rPr>
                <w:color w:val="984806"/>
                <w:sz w:val="28"/>
              </w:rPr>
            </w:pPr>
          </w:p>
        </w:tc>
      </w:tr>
      <w:tr>
        <w:tc>
          <w:tcPr>
            <w:tcW w:type="dxa" w:w="992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60000">
            <w:pPr>
              <w:widowControl w:val="0"/>
              <w:ind/>
              <w:jc w:val="center"/>
            </w:pPr>
            <w:r>
              <w:rPr>
                <w:color w:val="984806"/>
                <w:sz w:val="28"/>
              </w:rPr>
              <w:t>1.2.1.</w:t>
            </w:r>
          </w:p>
        </w:tc>
        <w:tc>
          <w:tcPr>
            <w:tcW w:type="dxa" w:w="538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60000">
            <w:pPr>
              <w:widowControl w:val="0"/>
              <w:ind/>
              <w:jc w:val="both"/>
            </w:pPr>
            <w:r>
              <w:rPr>
                <w:color w:val="984806"/>
                <w:sz w:val="28"/>
              </w:rPr>
              <w:t xml:space="preserve">Задача подпрограммы 2: </w:t>
            </w:r>
            <w:r>
              <w:rPr>
                <w:color w:val="984806"/>
                <w:sz w:val="28"/>
              </w:rPr>
              <w:t>развитие и обеспечение функционирования системы комплексного обеспечения безопасности жизнедеятельности округа на основе внедрения информационно-коммуникационных технологий</w:t>
            </w:r>
          </w:p>
        </w:tc>
        <w:tc>
          <w:tcPr>
            <w:tcW w:type="dxa" w:w="141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60000">
            <w:pPr>
              <w:ind/>
              <w:jc w:val="center"/>
            </w:pPr>
            <w:r>
              <w:rPr>
                <w:color w:val="984806"/>
                <w:sz w:val="28"/>
              </w:rPr>
              <w:t>0,34</w:t>
            </w:r>
          </w:p>
        </w:tc>
        <w:tc>
          <w:tcPr>
            <w:tcW w:type="dxa" w:w="141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60000">
            <w:pPr>
              <w:ind/>
              <w:jc w:val="center"/>
            </w:pPr>
            <w:r>
              <w:rPr>
                <w:color w:val="984806"/>
                <w:sz w:val="28"/>
              </w:rPr>
              <w:t>0,34</w:t>
            </w:r>
          </w:p>
        </w:tc>
        <w:tc>
          <w:tcPr>
            <w:tcW w:type="dxa" w:w="155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60000">
            <w:pPr>
              <w:ind/>
              <w:jc w:val="center"/>
            </w:pPr>
            <w:r>
              <w:rPr>
                <w:color w:val="984806"/>
                <w:sz w:val="28"/>
              </w:rPr>
              <w:t>1</w:t>
            </w:r>
          </w:p>
        </w:tc>
        <w:tc>
          <w:tcPr>
            <w:tcW w:type="dxa" w:w="155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60000">
            <w:pPr>
              <w:ind/>
              <w:jc w:val="center"/>
            </w:pPr>
            <w:r>
              <w:rPr>
                <w:color w:val="984806"/>
                <w:sz w:val="28"/>
              </w:rPr>
              <w:t>1</w:t>
            </w:r>
          </w:p>
        </w:tc>
        <w:tc>
          <w:tcPr>
            <w:tcW w:type="dxa" w:w="1559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60000">
            <w:pPr>
              <w:ind/>
              <w:jc w:val="center"/>
            </w:pPr>
            <w:r>
              <w:rPr>
                <w:color w:val="984806"/>
                <w:sz w:val="28"/>
              </w:rPr>
              <w:t>1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60000">
            <w:pPr>
              <w:ind/>
              <w:jc w:val="center"/>
            </w:pPr>
            <w:r>
              <w:rPr>
                <w:color w:val="984806"/>
                <w:sz w:val="28"/>
              </w:rPr>
              <w:t>1</w:t>
            </w:r>
          </w:p>
        </w:tc>
      </w:tr>
    </w:tbl>
    <w:p w14:paraId="27060000">
      <w:pPr>
        <w:numPr>
          <w:ilvl w:val="0"/>
          <w:numId w:val="0"/>
        </w:numPr>
        <w:ind w:firstLine="0" w:left="12744" w:right="0"/>
        <w:outlineLvl w:val="2"/>
        <w:rPr>
          <w:color w:val="FF0000"/>
          <w:sz w:val="28"/>
          <w:vertAlign w:val="superscript"/>
        </w:rPr>
      </w:pPr>
    </w:p>
    <w:sectPr>
      <w:headerReference r:id="rId4" w:type="default"/>
      <w:headerReference r:id="rId2" w:type="first"/>
      <w:headerReference r:id="rId5" w:type="even"/>
      <w:pgSz w:h="11906" w:orient="landscape" w:w="16838"/>
      <w:pgMar w:bottom="567" w:footer="708" w:header="709" w:left="1134" w:right="1134" w:top="1985"/>
      <w:pgNumType w:fmt="decimal"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</w:pP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>
    <w:pPr>
      <w:pStyle w:val="Style_1"/>
      <w:ind w:right="360"/>
    </w:pPr>
  </w:p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2"/>
    </w:pPr>
  </w:p>
</w:hdr>
</file>

<file path=word/header4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4000000">
    <w:pPr>
      <w:pStyle w:val="Style_1"/>
      <w:ind w:right="360"/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distB="0" distL="0" distR="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77800" cy="203834"/>
              <wp:wrapSquare distB="0" distL="0" distR="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77800" cy="203834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5000000">
                          <w:pPr>
                            <w:pStyle w:val="Style_1"/>
                          </w:pPr>
                          <w:r>
                            <w:rPr>
                              <w:rStyle w:val="Style_3_ch"/>
                            </w:rPr>
                            <w:fldChar w:fldCharType="begin"/>
                          </w:r>
                          <w:r>
                            <w:rPr>
                              <w:rStyle w:val="Style_3_ch"/>
                            </w:rPr>
                            <w:instrText xml:space="preserve">PAGE </w:instrText>
                          </w:r>
                          <w:r>
                            <w:rPr>
                              <w:rStyle w:val="Style_3_ch"/>
                            </w:rPr>
                            <w:fldChar w:fldCharType="separate"/>
                          </w:r>
                          <w:r>
                            <w:rPr>
                              <w:rStyle w:val="Style_3_ch"/>
                            </w:rPr>
                            <w:t xml:space="preserve"> </w:t>
                          </w:r>
                          <w:r>
                            <w:rPr>
                              <w:rStyle w:val="Style_3_ch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6000000"/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tabs>
          <w:tab w:leader="none" w:pos="360" w:val="left"/>
        </w:tabs>
        <w:ind w:hanging="360" w:left="360"/>
      </w:pPr>
    </w:lvl>
    <w:lvl w:ilvl="1">
      <w:start w:val="1"/>
      <w:numFmt w:val="lowerLetter"/>
      <w:lvlText w:val="%2."/>
      <w:lvlJc w:val="left"/>
      <w:pPr>
        <w:tabs>
          <w:tab w:leader="none" w:pos="1080" w:val="left"/>
        </w:tabs>
        <w:ind w:hanging="360" w:left="1080"/>
      </w:pPr>
    </w:lvl>
    <w:lvl w:ilvl="2">
      <w:start w:val="1"/>
      <w:numFmt w:val="lowerRoman"/>
      <w:lvlText w:val="%3."/>
      <w:lvlJc w:val="right"/>
      <w:pPr>
        <w:tabs>
          <w:tab w:leader="none" w:pos="1800" w:val="left"/>
        </w:tabs>
        <w:ind w:hanging="180" w:left="1800"/>
      </w:pPr>
    </w:lvl>
    <w:lvl w:ilvl="3">
      <w:start w:val="1"/>
      <w:numFmt w:val="decimal"/>
      <w:lvlText w:val="%4."/>
      <w:lvlJc w:val="left"/>
      <w:pPr>
        <w:tabs>
          <w:tab w:leader="none" w:pos="2520" w:val="left"/>
        </w:tabs>
        <w:ind w:hanging="360" w:left="2520"/>
      </w:pPr>
    </w:lvl>
    <w:lvl w:ilvl="4">
      <w:start w:val="1"/>
      <w:numFmt w:val="lowerLetter"/>
      <w:lvlText w:val="%5."/>
      <w:lvlJc w:val="left"/>
      <w:pPr>
        <w:tabs>
          <w:tab w:leader="none" w:pos="3240" w:val="left"/>
        </w:tabs>
        <w:ind w:hanging="360" w:left="3240"/>
      </w:pPr>
    </w:lvl>
    <w:lvl w:ilvl="5">
      <w:start w:val="1"/>
      <w:numFmt w:val="lowerRoman"/>
      <w:lvlText w:val="%6."/>
      <w:lvlJc w:val="right"/>
      <w:pPr>
        <w:tabs>
          <w:tab w:leader="none" w:pos="3960" w:val="left"/>
        </w:tabs>
        <w:ind w:hanging="180" w:left="3960"/>
      </w:pPr>
    </w:lvl>
    <w:lvl w:ilvl="6">
      <w:start w:val="1"/>
      <w:numFmt w:val="decimal"/>
      <w:lvlText w:val="%7."/>
      <w:lvlJc w:val="left"/>
      <w:pPr>
        <w:tabs>
          <w:tab w:leader="none" w:pos="4680" w:val="left"/>
        </w:tabs>
        <w:ind w:hanging="360" w:left="4680"/>
      </w:pPr>
    </w:lvl>
    <w:lvl w:ilvl="7">
      <w:start w:val="1"/>
      <w:numFmt w:val="lowerLetter"/>
      <w:lvlText w:val="%8."/>
      <w:lvlJc w:val="left"/>
      <w:pPr>
        <w:tabs>
          <w:tab w:leader="none" w:pos="5400" w:val="left"/>
        </w:tabs>
        <w:ind w:hanging="360" w:left="5400"/>
      </w:pPr>
    </w:lvl>
    <w:lvl w:ilvl="8">
      <w:start w:val="1"/>
      <w:numFmt w:val="lowerRoman"/>
      <w:pStyle w:val="Style_77"/>
      <w:lvlText w:val="%9."/>
      <w:lvlJc w:val="right"/>
      <w:pPr>
        <w:tabs>
          <w:tab w:leader="none" w:pos="6120" w:val="left"/>
        </w:tabs>
        <w:ind w:hanging="180" w:left="612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pPr>
      <w:widowControl w:val="1"/>
      <w:ind/>
    </w:pPr>
    <w:rPr>
      <w:rFonts w:ascii="Times New Roman" w:hAnsi="Times New Roman"/>
      <w:color w:val="000000"/>
      <w:sz w:val="20"/>
    </w:rPr>
  </w:style>
  <w:style w:default="1" w:styleId="Style_5_ch" w:type="character">
    <w:name w:val="Normal"/>
    <w:link w:val="Style_5"/>
    <w:rPr>
      <w:rFonts w:ascii="Times New Roman" w:hAnsi="Times New Roman"/>
      <w:color w:val="000000"/>
      <w:sz w:val="20"/>
    </w:rPr>
  </w:style>
  <w:style w:styleId="Style_6" w:type="paragraph">
    <w:name w:val="Название15"/>
    <w:basedOn w:val="Style_5"/>
    <w:link w:val="Style_6_ch"/>
    <w:pPr>
      <w:spacing w:after="120" w:before="120"/>
      <w:ind/>
    </w:pPr>
    <w:rPr>
      <w:i w:val="1"/>
      <w:sz w:val="24"/>
    </w:rPr>
  </w:style>
  <w:style w:styleId="Style_6_ch" w:type="character">
    <w:name w:val="Название15"/>
    <w:basedOn w:val="Style_5_ch"/>
    <w:link w:val="Style_6"/>
    <w:rPr>
      <w:i w:val="1"/>
      <w:sz w:val="24"/>
    </w:rPr>
  </w:style>
  <w:style w:styleId="Style_7" w:type="paragraph">
    <w:name w:val="Название14"/>
    <w:basedOn w:val="Style_5"/>
    <w:link w:val="Style_7_ch"/>
    <w:pPr>
      <w:spacing w:after="120" w:before="120"/>
      <w:ind/>
    </w:pPr>
    <w:rPr>
      <w:i w:val="1"/>
      <w:sz w:val="24"/>
    </w:rPr>
  </w:style>
  <w:style w:styleId="Style_7_ch" w:type="character">
    <w:name w:val="Название14"/>
    <w:basedOn w:val="Style_5_ch"/>
    <w:link w:val="Style_7"/>
    <w:rPr>
      <w:i w:val="1"/>
      <w:sz w:val="24"/>
    </w:rPr>
  </w:style>
  <w:style w:styleId="Style_8" w:type="paragraph">
    <w:name w:val="toc 2"/>
    <w:next w:val="Style_5"/>
    <w:link w:val="Style_8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Основной текст 21"/>
    <w:basedOn w:val="Style_5"/>
    <w:link w:val="Style_9_ch"/>
    <w:pPr>
      <w:spacing w:after="120" w:before="0" w:line="480" w:lineRule="auto"/>
      <w:ind/>
    </w:pPr>
    <w:rPr>
      <w:rFonts w:ascii="Calibri" w:hAnsi="Calibri"/>
      <w:sz w:val="22"/>
    </w:rPr>
  </w:style>
  <w:style w:styleId="Style_9_ch" w:type="character">
    <w:name w:val="Основной текст 21"/>
    <w:basedOn w:val="Style_5_ch"/>
    <w:link w:val="Style_9"/>
    <w:rPr>
      <w:rFonts w:ascii="Calibri" w:hAnsi="Calibri"/>
      <w:sz w:val="22"/>
    </w:rPr>
  </w:style>
  <w:style w:styleId="Style_10" w:type="paragraph">
    <w:name w:val="WW-Absatz-Standardschriftart111111111111111111111111111"/>
    <w:link w:val="Style_10_ch"/>
  </w:style>
  <w:style w:styleId="Style_10_ch" w:type="character">
    <w:name w:val="WW-Absatz-Standardschriftart111111111111111111111111111"/>
    <w:link w:val="Style_10"/>
  </w:style>
  <w:style w:styleId="Style_11" w:type="paragraph">
    <w:name w:val=" Знак Знак6"/>
    <w:link w:val="Style_11_ch"/>
    <w:rPr>
      <w:rFonts w:ascii="Times New Roman CYR" w:hAnsi="Times New Roman CYR"/>
      <w:sz w:val="28"/>
    </w:rPr>
  </w:style>
  <w:style w:styleId="Style_11_ch" w:type="character">
    <w:name w:val=" Знак Знак6"/>
    <w:link w:val="Style_11"/>
    <w:rPr>
      <w:rFonts w:ascii="Times New Roman CYR" w:hAnsi="Times New Roman CYR"/>
      <w:sz w:val="28"/>
    </w:rPr>
  </w:style>
  <w:style w:styleId="Style_12" w:type="paragraph">
    <w:name w:val="Основной текст_"/>
    <w:link w:val="Style_12_ch"/>
    <w:rPr>
      <w:sz w:val="24"/>
    </w:rPr>
  </w:style>
  <w:style w:styleId="Style_12_ch" w:type="character">
    <w:name w:val="Основной текст_"/>
    <w:link w:val="Style_12"/>
    <w:rPr>
      <w:sz w:val="24"/>
    </w:rPr>
  </w:style>
  <w:style w:styleId="Style_13" w:type="paragraph">
    <w:name w:val="Название1"/>
    <w:basedOn w:val="Style_5"/>
    <w:link w:val="Style_13_ch"/>
    <w:pPr>
      <w:spacing w:after="120" w:before="120"/>
      <w:ind/>
    </w:pPr>
    <w:rPr>
      <w:i w:val="1"/>
      <w:sz w:val="24"/>
    </w:rPr>
  </w:style>
  <w:style w:styleId="Style_13_ch" w:type="character">
    <w:name w:val="Название1"/>
    <w:basedOn w:val="Style_5_ch"/>
    <w:link w:val="Style_13"/>
    <w:rPr>
      <w:i w:val="1"/>
      <w:sz w:val="24"/>
    </w:rPr>
  </w:style>
  <w:style w:styleId="Style_14" w:type="paragraph">
    <w:name w:val="WW-Absatz-Standardschriftart11111111111111111111111111111111"/>
    <w:link w:val="Style_14_ch"/>
  </w:style>
  <w:style w:styleId="Style_14_ch" w:type="character">
    <w:name w:val="WW-Absatz-Standardschriftart11111111111111111111111111111111"/>
    <w:link w:val="Style_14"/>
  </w:style>
  <w:style w:styleId="Style_15" w:type="paragraph">
    <w:name w:val="WW8Num14z1"/>
    <w:link w:val="Style_15_ch"/>
    <w:rPr>
      <w:rFonts w:ascii="Courier New" w:hAnsi="Courier New"/>
    </w:rPr>
  </w:style>
  <w:style w:styleId="Style_15_ch" w:type="character">
    <w:name w:val="WW8Num14z1"/>
    <w:link w:val="Style_15"/>
    <w:rPr>
      <w:rFonts w:ascii="Courier New" w:hAnsi="Courier New"/>
    </w:rPr>
  </w:style>
  <w:style w:styleId="Style_16" w:type="paragraph">
    <w:name w:val="Колонтитул"/>
    <w:basedOn w:val="Style_5"/>
    <w:link w:val="Style_16_ch"/>
    <w:pPr>
      <w:tabs>
        <w:tab w:leader="none" w:pos="4819" w:val="center"/>
        <w:tab w:leader="none" w:pos="9638" w:val="right"/>
      </w:tabs>
      <w:ind/>
    </w:pPr>
  </w:style>
  <w:style w:styleId="Style_16_ch" w:type="character">
    <w:name w:val="Колонтитул"/>
    <w:basedOn w:val="Style_5_ch"/>
    <w:link w:val="Style_16"/>
  </w:style>
  <w:style w:styleId="Style_17" w:type="paragraph">
    <w:name w:val="Заголовок 3 Знак"/>
    <w:link w:val="Style_17_ch"/>
    <w:rPr>
      <w:sz w:val="28"/>
    </w:rPr>
  </w:style>
  <w:style w:styleId="Style_17_ch" w:type="character">
    <w:name w:val="Заголовок 3 Знак"/>
    <w:link w:val="Style_17"/>
    <w:rPr>
      <w:sz w:val="28"/>
    </w:rPr>
  </w:style>
  <w:style w:styleId="Style_18" w:type="paragraph">
    <w:name w:val="Текст примечания Знак1"/>
    <w:link w:val="Style_18_ch"/>
  </w:style>
  <w:style w:styleId="Style_18_ch" w:type="character">
    <w:name w:val="Текст примечания Знак1"/>
    <w:link w:val="Style_18"/>
  </w:style>
  <w:style w:styleId="Style_19" w:type="paragraph">
    <w:name w:val="toc 4"/>
    <w:next w:val="Style_5"/>
    <w:link w:val="Style_1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9_ch" w:type="character">
    <w:name w:val="toc 4"/>
    <w:link w:val="Style_19"/>
    <w:rPr>
      <w:rFonts w:ascii="XO Thames" w:hAnsi="XO Thames"/>
      <w:sz w:val="28"/>
    </w:rPr>
  </w:style>
  <w:style w:styleId="Style_20" w:type="paragraph">
    <w:name w:val="Font Style21"/>
    <w:link w:val="Style_20_ch"/>
    <w:rPr>
      <w:rFonts w:ascii="Times New Roman" w:hAnsi="Times New Roman"/>
      <w:sz w:val="22"/>
    </w:rPr>
  </w:style>
  <w:style w:styleId="Style_20_ch" w:type="character">
    <w:name w:val="Font Style21"/>
    <w:link w:val="Style_20"/>
    <w:rPr>
      <w:rFonts w:ascii="Times New Roman" w:hAnsi="Times New Roman"/>
      <w:sz w:val="22"/>
    </w:rPr>
  </w:style>
  <w:style w:styleId="Style_21" w:type="paragraph">
    <w:name w:val="WW8Num22z0"/>
    <w:link w:val="Style_21_ch"/>
    <w:rPr>
      <w:rFonts w:ascii="Symbol" w:hAnsi="Symbol"/>
    </w:rPr>
  </w:style>
  <w:style w:styleId="Style_21_ch" w:type="character">
    <w:name w:val="WW8Num22z0"/>
    <w:link w:val="Style_21"/>
    <w:rPr>
      <w:rFonts w:ascii="Symbol" w:hAnsi="Symbol"/>
    </w:rPr>
  </w:style>
  <w:style w:styleId="Style_22" w:type="paragraph">
    <w:name w:val="Заголовок"/>
    <w:basedOn w:val="Style_5"/>
    <w:next w:val="Style_23"/>
    <w:link w:val="Style_22_ch"/>
    <w:pPr>
      <w:keepNext w:val="1"/>
      <w:spacing w:after="120" w:before="240"/>
      <w:ind/>
    </w:pPr>
    <w:rPr>
      <w:rFonts w:ascii="Arial" w:hAnsi="Arial"/>
      <w:sz w:val="28"/>
    </w:rPr>
  </w:style>
  <w:style w:styleId="Style_22_ch" w:type="character">
    <w:name w:val="Заголовок"/>
    <w:basedOn w:val="Style_5_ch"/>
    <w:link w:val="Style_22"/>
    <w:rPr>
      <w:rFonts w:ascii="Arial" w:hAnsi="Arial"/>
      <w:sz w:val="28"/>
    </w:rPr>
  </w:style>
  <w:style w:styleId="Style_24" w:type="paragraph">
    <w:name w:val="WW-Absatz-Standardschriftart11111111111111111111111111111111111111111111"/>
    <w:link w:val="Style_24_ch"/>
  </w:style>
  <w:style w:styleId="Style_24_ch" w:type="character">
    <w:name w:val="WW-Absatz-Standardschriftart11111111111111111111111111111111111111111111"/>
    <w:link w:val="Style_24"/>
  </w:style>
  <w:style w:styleId="Style_25" w:type="paragraph">
    <w:name w:val="Разметка HTML"/>
    <w:link w:val="Style_25_ch"/>
    <w:rPr>
      <w:color w:val="FF0000"/>
      <w:sz w:val="20"/>
    </w:rPr>
  </w:style>
  <w:style w:styleId="Style_25_ch" w:type="character">
    <w:name w:val="Разметка HTML"/>
    <w:link w:val="Style_25"/>
    <w:rPr>
      <w:color w:val="FF0000"/>
      <w:sz w:val="20"/>
    </w:rPr>
  </w:style>
  <w:style w:styleId="Style_26" w:type="paragraph">
    <w:name w:val="Указатель1"/>
    <w:basedOn w:val="Style_5"/>
    <w:link w:val="Style_26_ch"/>
    <w:rPr>
      <w:sz w:val="24"/>
    </w:rPr>
  </w:style>
  <w:style w:styleId="Style_26_ch" w:type="character">
    <w:name w:val="Указатель1"/>
    <w:basedOn w:val="Style_5_ch"/>
    <w:link w:val="Style_26"/>
    <w:rPr>
      <w:sz w:val="24"/>
    </w:rPr>
  </w:style>
  <w:style w:styleId="Style_27" w:type="paragraph">
    <w:name w:val="WW8Num17z0"/>
    <w:link w:val="Style_27_ch"/>
  </w:style>
  <w:style w:styleId="Style_27_ch" w:type="character">
    <w:name w:val="WW8Num17z0"/>
    <w:link w:val="Style_27"/>
  </w:style>
  <w:style w:styleId="Style_28" w:type="paragraph">
    <w:name w:val="WW-Absatz-Standardschriftart11111111111111111111111111"/>
    <w:link w:val="Style_28_ch"/>
  </w:style>
  <w:style w:styleId="Style_28_ch" w:type="character">
    <w:name w:val="WW-Absatz-Standardschriftart11111111111111111111111111"/>
    <w:link w:val="Style_28"/>
  </w:style>
  <w:style w:styleId="Style_29" w:type="paragraph">
    <w:name w:val="toc 6"/>
    <w:next w:val="Style_5"/>
    <w:link w:val="Style_29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29_ch" w:type="character">
    <w:name w:val="toc 6"/>
    <w:link w:val="Style_29"/>
    <w:rPr>
      <w:rFonts w:ascii="XO Thames" w:hAnsi="XO Thames"/>
      <w:sz w:val="28"/>
    </w:rPr>
  </w:style>
  <w:style w:styleId="Style_30" w:type="paragraph">
    <w:name w:val="Strong"/>
    <w:link w:val="Style_30_ch"/>
    <w:rPr>
      <w:b w:val="1"/>
    </w:rPr>
  </w:style>
  <w:style w:styleId="Style_30_ch" w:type="character">
    <w:name w:val="Strong"/>
    <w:link w:val="Style_30"/>
    <w:rPr>
      <w:b w:val="1"/>
    </w:rPr>
  </w:style>
  <w:style w:styleId="Style_31" w:type="paragraph">
    <w:name w:val=" Знак Знак Знак Знак"/>
    <w:basedOn w:val="Style_5"/>
    <w:link w:val="Style_31_ch"/>
    <w:rPr>
      <w:rFonts w:ascii="Verdana" w:hAnsi="Verdana"/>
    </w:rPr>
  </w:style>
  <w:style w:styleId="Style_31_ch" w:type="character">
    <w:name w:val=" Знак Знак Знак Знак"/>
    <w:basedOn w:val="Style_5_ch"/>
    <w:link w:val="Style_31"/>
    <w:rPr>
      <w:rFonts w:ascii="Verdana" w:hAnsi="Verdana"/>
    </w:rPr>
  </w:style>
  <w:style w:styleId="Style_32" w:type="paragraph">
    <w:name w:val=" Знак Знак7 Знак Знак Знак Знак Знак Знак Знак Знак Знак Знак Знак Знак Знак Знак Знак Знак Знак Знак"/>
    <w:basedOn w:val="Style_5"/>
    <w:link w:val="Style_32_ch"/>
    <w:rPr>
      <w:rFonts w:ascii="Verdana" w:hAnsi="Verdana"/>
    </w:rPr>
  </w:style>
  <w:style w:styleId="Style_32_ch" w:type="character">
    <w:name w:val=" Знак Знак7 Знак Знак Знак Знак Знак Знак Знак Знак Знак Знак Знак Знак Знак Знак Знак Знак Знак Знак"/>
    <w:basedOn w:val="Style_5_ch"/>
    <w:link w:val="Style_32"/>
    <w:rPr>
      <w:rFonts w:ascii="Verdana" w:hAnsi="Verdana"/>
    </w:rPr>
  </w:style>
  <w:style w:styleId="Style_33" w:type="paragraph">
    <w:name w:val="toc 7"/>
    <w:next w:val="Style_5"/>
    <w:link w:val="Style_33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33_ch" w:type="character">
    <w:name w:val="toc 7"/>
    <w:link w:val="Style_33"/>
    <w:rPr>
      <w:rFonts w:ascii="XO Thames" w:hAnsi="XO Thames"/>
      <w:sz w:val="28"/>
    </w:rPr>
  </w:style>
  <w:style w:styleId="Style_34" w:type="paragraph">
    <w:name w:val="Стандартный HTML Знак"/>
    <w:link w:val="Style_34_ch"/>
    <w:rPr>
      <w:rFonts w:ascii="Courier New" w:hAnsi="Courier New"/>
    </w:rPr>
  </w:style>
  <w:style w:styleId="Style_34_ch" w:type="character">
    <w:name w:val="Стандартный HTML Знак"/>
    <w:link w:val="Style_34"/>
    <w:rPr>
      <w:rFonts w:ascii="Courier New" w:hAnsi="Courier New"/>
    </w:rPr>
  </w:style>
  <w:style w:styleId="Style_35" w:type="paragraph">
    <w:name w:val="Указатель13"/>
    <w:basedOn w:val="Style_5"/>
    <w:link w:val="Style_35_ch"/>
    <w:rPr>
      <w:sz w:val="24"/>
    </w:rPr>
  </w:style>
  <w:style w:styleId="Style_35_ch" w:type="character">
    <w:name w:val="Указатель13"/>
    <w:basedOn w:val="Style_5_ch"/>
    <w:link w:val="Style_35"/>
    <w:rPr>
      <w:sz w:val="24"/>
    </w:rPr>
  </w:style>
  <w:style w:styleId="Style_36" w:type="paragraph">
    <w:name w:val="ConsPlusTitle"/>
    <w:link w:val="Style_36_ch"/>
    <w:pPr>
      <w:widowControl w:val="0"/>
      <w:ind/>
    </w:pPr>
    <w:rPr>
      <w:rFonts w:ascii="Times New Roman" w:hAnsi="Times New Roman"/>
      <w:b w:val="1"/>
      <w:color w:val="000000"/>
      <w:sz w:val="24"/>
    </w:rPr>
  </w:style>
  <w:style w:styleId="Style_36_ch" w:type="character">
    <w:name w:val="ConsPlusTitle"/>
    <w:link w:val="Style_36"/>
    <w:rPr>
      <w:rFonts w:ascii="Times New Roman" w:hAnsi="Times New Roman"/>
      <w:b w:val="1"/>
      <w:color w:val="000000"/>
      <w:sz w:val="24"/>
    </w:rPr>
  </w:style>
  <w:style w:styleId="Style_37" w:type="paragraph">
    <w:name w:val="WW-Absatz-Standardschriftart1111111111111111111111111111111111111111"/>
    <w:link w:val="Style_37_ch"/>
  </w:style>
  <w:style w:styleId="Style_37_ch" w:type="character">
    <w:name w:val="WW-Absatz-Standardschriftart1111111111111111111111111111111111111111"/>
    <w:link w:val="Style_37"/>
  </w:style>
  <w:style w:styleId="Style_38" w:type="paragraph">
    <w:name w:val="Знак Знак Знак1 Знак Знак Знак Знак"/>
    <w:basedOn w:val="Style_5"/>
    <w:link w:val="Style_38_ch"/>
    <w:pPr>
      <w:spacing w:after="280" w:before="280"/>
      <w:ind/>
    </w:pPr>
    <w:rPr>
      <w:rFonts w:ascii="Tahoma" w:hAnsi="Tahoma"/>
    </w:rPr>
  </w:style>
  <w:style w:styleId="Style_38_ch" w:type="character">
    <w:name w:val="Знак Знак Знак1 Знак Знак Знак Знак"/>
    <w:basedOn w:val="Style_5_ch"/>
    <w:link w:val="Style_38"/>
    <w:rPr>
      <w:rFonts w:ascii="Tahoma" w:hAnsi="Tahoma"/>
    </w:rPr>
  </w:style>
  <w:style w:styleId="Style_39" w:type="paragraph">
    <w:name w:val="Символ сноски"/>
    <w:link w:val="Style_39_ch"/>
    <w:rPr>
      <w:vertAlign w:val="superscript"/>
    </w:rPr>
  </w:style>
  <w:style w:styleId="Style_39_ch" w:type="character">
    <w:name w:val="Символ сноски"/>
    <w:link w:val="Style_39"/>
    <w:rPr>
      <w:vertAlign w:val="superscript"/>
    </w:rPr>
  </w:style>
  <w:style w:styleId="Style_40" w:type="paragraph">
    <w:name w:val="WW8Num11z0"/>
    <w:link w:val="Style_40_ch"/>
    <w:rPr>
      <w:rFonts w:ascii="Symbol" w:hAnsi="Symbol"/>
      <w:sz w:val="22"/>
    </w:rPr>
  </w:style>
  <w:style w:styleId="Style_40_ch" w:type="character">
    <w:name w:val="WW8Num11z0"/>
    <w:link w:val="Style_40"/>
    <w:rPr>
      <w:rFonts w:ascii="Symbol" w:hAnsi="Symbol"/>
      <w:sz w:val="22"/>
    </w:rPr>
  </w:style>
  <w:style w:styleId="Style_41" w:type="paragraph">
    <w:name w:val="Название18"/>
    <w:basedOn w:val="Style_5"/>
    <w:link w:val="Style_41_ch"/>
    <w:pPr>
      <w:spacing w:after="120" w:before="120"/>
      <w:ind/>
    </w:pPr>
    <w:rPr>
      <w:i w:val="1"/>
      <w:sz w:val="24"/>
    </w:rPr>
  </w:style>
  <w:style w:styleId="Style_41_ch" w:type="character">
    <w:name w:val="Название18"/>
    <w:basedOn w:val="Style_5_ch"/>
    <w:link w:val="Style_41"/>
    <w:rPr>
      <w:i w:val="1"/>
      <w:sz w:val="24"/>
    </w:rPr>
  </w:style>
  <w:style w:styleId="Style_42" w:type="paragraph">
    <w:name w:val="WW-Absatz-Standardschriftart1111111111111111111111111111111111111111111111"/>
    <w:link w:val="Style_42_ch"/>
  </w:style>
  <w:style w:styleId="Style_42_ch" w:type="character">
    <w:name w:val="WW-Absatz-Standardschriftart1111111111111111111111111111111111111111111111"/>
    <w:link w:val="Style_42"/>
  </w:style>
  <w:style w:styleId="Style_43" w:type="paragraph">
    <w:name w:val="WW8Num18z0"/>
    <w:link w:val="Style_43_ch"/>
  </w:style>
  <w:style w:styleId="Style_43_ch" w:type="character">
    <w:name w:val="WW8Num18z0"/>
    <w:link w:val="Style_43"/>
  </w:style>
  <w:style w:styleId="Style_44" w:type="paragraph">
    <w:name w:val="Указатель11"/>
    <w:basedOn w:val="Style_5"/>
    <w:link w:val="Style_44_ch"/>
    <w:rPr>
      <w:sz w:val="24"/>
    </w:rPr>
  </w:style>
  <w:style w:styleId="Style_44_ch" w:type="character">
    <w:name w:val="Указатель11"/>
    <w:basedOn w:val="Style_5_ch"/>
    <w:link w:val="Style_44"/>
    <w:rPr>
      <w:sz w:val="24"/>
    </w:rPr>
  </w:style>
  <w:style w:styleId="Style_45" w:type="paragraph">
    <w:name w:val="Название2"/>
    <w:basedOn w:val="Style_5"/>
    <w:link w:val="Style_45_ch"/>
    <w:pPr>
      <w:spacing w:after="120" w:before="120"/>
      <w:ind/>
    </w:pPr>
    <w:rPr>
      <w:i w:val="1"/>
      <w:sz w:val="24"/>
    </w:rPr>
  </w:style>
  <w:style w:styleId="Style_45_ch" w:type="character">
    <w:name w:val="Название2"/>
    <w:basedOn w:val="Style_5_ch"/>
    <w:link w:val="Style_45"/>
    <w:rPr>
      <w:i w:val="1"/>
      <w:sz w:val="24"/>
    </w:rPr>
  </w:style>
  <w:style w:styleId="Style_46" w:type="paragraph">
    <w:name w:val="WW-Absatz-Standardschriftart111111111"/>
    <w:link w:val="Style_46_ch"/>
  </w:style>
  <w:style w:styleId="Style_46_ch" w:type="character">
    <w:name w:val="WW-Absatz-Standardschriftart111111111"/>
    <w:link w:val="Style_46"/>
  </w:style>
  <w:style w:styleId="Style_47" w:type="paragraph">
    <w:name w:val="Font Style13"/>
    <w:link w:val="Style_47_ch"/>
    <w:rPr>
      <w:rFonts w:ascii="Times New Roman" w:hAnsi="Times New Roman"/>
      <w:b w:val="1"/>
      <w:spacing w:val="20"/>
      <w:sz w:val="14"/>
    </w:rPr>
  </w:style>
  <w:style w:styleId="Style_47_ch" w:type="character">
    <w:name w:val="Font Style13"/>
    <w:link w:val="Style_47"/>
    <w:rPr>
      <w:rFonts w:ascii="Times New Roman" w:hAnsi="Times New Roman"/>
      <w:b w:val="1"/>
      <w:spacing w:val="20"/>
      <w:sz w:val="14"/>
    </w:rPr>
  </w:style>
  <w:style w:styleId="Style_48" w:type="paragraph">
    <w:name w:val="Основной шрифт абзаца6"/>
    <w:link w:val="Style_48_ch"/>
  </w:style>
  <w:style w:styleId="Style_48_ch" w:type="character">
    <w:name w:val="Основной шрифт абзаца6"/>
    <w:link w:val="Style_48"/>
  </w:style>
  <w:style w:styleId="Style_49" w:type="paragraph">
    <w:name w:val="Heading"/>
    <w:link w:val="Style_49_ch"/>
    <w:pPr>
      <w:widowControl w:val="0"/>
      <w:ind/>
    </w:pPr>
    <w:rPr>
      <w:rFonts w:ascii="Arial" w:hAnsi="Arial"/>
      <w:b w:val="1"/>
      <w:color w:val="000000"/>
      <w:sz w:val="22"/>
    </w:rPr>
  </w:style>
  <w:style w:styleId="Style_49_ch" w:type="character">
    <w:name w:val="Heading"/>
    <w:link w:val="Style_49"/>
    <w:rPr>
      <w:rFonts w:ascii="Arial" w:hAnsi="Arial"/>
      <w:b w:val="1"/>
      <w:color w:val="000000"/>
      <w:sz w:val="22"/>
    </w:rPr>
  </w:style>
  <w:style w:styleId="Style_50" w:type="paragraph">
    <w:name w:val="p1"/>
    <w:basedOn w:val="Style_5"/>
    <w:link w:val="Style_50_ch"/>
    <w:pPr>
      <w:spacing w:after="280" w:before="280"/>
      <w:ind/>
    </w:pPr>
    <w:rPr>
      <w:sz w:val="24"/>
    </w:rPr>
  </w:style>
  <w:style w:styleId="Style_50_ch" w:type="character">
    <w:name w:val="p1"/>
    <w:basedOn w:val="Style_5_ch"/>
    <w:link w:val="Style_50"/>
    <w:rPr>
      <w:sz w:val="24"/>
    </w:rPr>
  </w:style>
  <w:style w:styleId="Style_51" w:type="paragraph">
    <w:name w:val="Endnote"/>
    <w:link w:val="Style_51_ch"/>
    <w:pPr>
      <w:ind w:firstLine="851" w:left="0"/>
      <w:jc w:val="both"/>
    </w:pPr>
    <w:rPr>
      <w:rFonts w:ascii="XO Thames" w:hAnsi="XO Thames"/>
      <w:sz w:val="22"/>
    </w:rPr>
  </w:style>
  <w:style w:styleId="Style_51_ch" w:type="character">
    <w:name w:val="Endnote"/>
    <w:link w:val="Style_51"/>
    <w:rPr>
      <w:rFonts w:ascii="XO Thames" w:hAnsi="XO Thames"/>
      <w:sz w:val="22"/>
    </w:rPr>
  </w:style>
  <w:style w:styleId="Style_52" w:type="paragraph">
    <w:name w:val="heading 3"/>
    <w:basedOn w:val="Style_5"/>
    <w:next w:val="Style_5"/>
    <w:link w:val="Style_52_ch"/>
    <w:uiPriority w:val="9"/>
    <w:qFormat/>
    <w:pPr>
      <w:keepNext w:val="1"/>
      <w:tabs>
        <w:tab w:leader="none" w:pos="900" w:val="left"/>
      </w:tabs>
      <w:ind/>
      <w:jc w:val="center"/>
      <w:outlineLvl w:val="2"/>
    </w:pPr>
    <w:rPr>
      <w:sz w:val="28"/>
    </w:rPr>
  </w:style>
  <w:style w:styleId="Style_52_ch" w:type="character">
    <w:name w:val="heading 3"/>
    <w:basedOn w:val="Style_5_ch"/>
    <w:link w:val="Style_52"/>
    <w:rPr>
      <w:sz w:val="28"/>
    </w:rPr>
  </w:style>
  <w:style w:styleId="Style_53" w:type="paragraph">
    <w:name w:val="Указатель17"/>
    <w:basedOn w:val="Style_5"/>
    <w:link w:val="Style_53_ch"/>
    <w:rPr>
      <w:sz w:val="24"/>
    </w:rPr>
  </w:style>
  <w:style w:styleId="Style_53_ch" w:type="character">
    <w:name w:val="Указатель17"/>
    <w:basedOn w:val="Style_5_ch"/>
    <w:link w:val="Style_53"/>
    <w:rPr>
      <w:sz w:val="24"/>
    </w:rPr>
  </w:style>
  <w:style w:styleId="Style_54" w:type="paragraph">
    <w:name w:val="p15"/>
    <w:basedOn w:val="Style_5"/>
    <w:link w:val="Style_54_ch"/>
    <w:pPr>
      <w:spacing w:after="280" w:before="280"/>
      <w:ind/>
    </w:pPr>
    <w:rPr>
      <w:sz w:val="24"/>
    </w:rPr>
  </w:style>
  <w:style w:styleId="Style_54_ch" w:type="character">
    <w:name w:val="p15"/>
    <w:basedOn w:val="Style_5_ch"/>
    <w:link w:val="Style_54"/>
    <w:rPr>
      <w:sz w:val="24"/>
    </w:rPr>
  </w:style>
  <w:style w:styleId="Style_55" w:type="paragraph">
    <w:name w:val="footer"/>
    <w:basedOn w:val="Style_5"/>
    <w:link w:val="Style_55_ch"/>
    <w:pPr>
      <w:tabs>
        <w:tab w:leader="none" w:pos="4677" w:val="center"/>
        <w:tab w:leader="none" w:pos="9355" w:val="right"/>
      </w:tabs>
      <w:ind/>
    </w:pPr>
  </w:style>
  <w:style w:styleId="Style_55_ch" w:type="character">
    <w:name w:val="footer"/>
    <w:basedOn w:val="Style_5_ch"/>
    <w:link w:val="Style_55"/>
  </w:style>
  <w:style w:styleId="Style_56" w:type="paragraph">
    <w:name w:val="Название8"/>
    <w:basedOn w:val="Style_5"/>
    <w:link w:val="Style_56_ch"/>
    <w:pPr>
      <w:spacing w:after="120" w:before="120"/>
      <w:ind/>
    </w:pPr>
    <w:rPr>
      <w:i w:val="1"/>
      <w:sz w:val="24"/>
    </w:rPr>
  </w:style>
  <w:style w:styleId="Style_56_ch" w:type="character">
    <w:name w:val="Название8"/>
    <w:basedOn w:val="Style_5_ch"/>
    <w:link w:val="Style_56"/>
    <w:rPr>
      <w:i w:val="1"/>
      <w:sz w:val="24"/>
    </w:rPr>
  </w:style>
  <w:style w:styleId="Style_57" w:type="paragraph">
    <w:name w:val="Название6"/>
    <w:basedOn w:val="Style_5"/>
    <w:link w:val="Style_57_ch"/>
    <w:pPr>
      <w:spacing w:after="120" w:before="120"/>
      <w:ind/>
    </w:pPr>
    <w:rPr>
      <w:i w:val="1"/>
      <w:sz w:val="24"/>
    </w:rPr>
  </w:style>
  <w:style w:styleId="Style_57_ch" w:type="character">
    <w:name w:val="Название6"/>
    <w:basedOn w:val="Style_5_ch"/>
    <w:link w:val="Style_57"/>
    <w:rPr>
      <w:i w:val="1"/>
      <w:sz w:val="24"/>
    </w:rPr>
  </w:style>
  <w:style w:styleId="Style_58" w:type="paragraph">
    <w:name w:val="1"/>
    <w:basedOn w:val="Style_5"/>
    <w:link w:val="Style_58_ch"/>
    <w:pPr>
      <w:spacing w:after="160" w:before="0" w:line="240" w:lineRule="exact"/>
      <w:ind/>
    </w:pPr>
    <w:rPr>
      <w:rFonts w:ascii="Verdana" w:hAnsi="Verdana"/>
    </w:rPr>
  </w:style>
  <w:style w:styleId="Style_58_ch" w:type="character">
    <w:name w:val="1"/>
    <w:basedOn w:val="Style_5_ch"/>
    <w:link w:val="Style_58"/>
    <w:rPr>
      <w:rFonts w:ascii="Verdana" w:hAnsi="Verdana"/>
    </w:rPr>
  </w:style>
  <w:style w:styleId="Style_59" w:type="paragraph">
    <w:name w:val="WW8Num8z2"/>
    <w:link w:val="Style_59_ch"/>
    <w:rPr>
      <w:rFonts w:ascii="Wingdings" w:hAnsi="Wingdings"/>
    </w:rPr>
  </w:style>
  <w:style w:styleId="Style_59_ch" w:type="character">
    <w:name w:val="WW8Num8z2"/>
    <w:link w:val="Style_59"/>
    <w:rPr>
      <w:rFonts w:ascii="Wingdings" w:hAnsi="Wingdings"/>
    </w:rPr>
  </w:style>
  <w:style w:styleId="Style_60" w:type="paragraph">
    <w:name w:val="WW8Num14z2"/>
    <w:link w:val="Style_60_ch"/>
    <w:rPr>
      <w:rFonts w:ascii="Wingdings" w:hAnsi="Wingdings"/>
    </w:rPr>
  </w:style>
  <w:style w:styleId="Style_60_ch" w:type="character">
    <w:name w:val="WW8Num14z2"/>
    <w:link w:val="Style_60"/>
    <w:rPr>
      <w:rFonts w:ascii="Wingdings" w:hAnsi="Wingdings"/>
    </w:rPr>
  </w:style>
  <w:style w:styleId="Style_61" w:type="paragraph">
    <w:name w:val="WW-Absatz-Standardschriftart111111111111111111111111111111111111"/>
    <w:link w:val="Style_61_ch"/>
  </w:style>
  <w:style w:styleId="Style_61_ch" w:type="character">
    <w:name w:val="WW-Absatz-Standardschriftart111111111111111111111111111111111111"/>
    <w:link w:val="Style_61"/>
  </w:style>
  <w:style w:styleId="Style_62" w:type="paragraph">
    <w:name w:val="Верхний колонтитул Знак"/>
    <w:link w:val="Style_62_ch"/>
    <w:rPr>
      <w:sz w:val="28"/>
    </w:rPr>
  </w:style>
  <w:style w:styleId="Style_62_ch" w:type="character">
    <w:name w:val="Верхний колонтитул Знак"/>
    <w:link w:val="Style_62"/>
    <w:rPr>
      <w:sz w:val="28"/>
    </w:rPr>
  </w:style>
  <w:style w:styleId="Style_63" w:type="paragraph">
    <w:name w:val="Основной шрифт абзаца11"/>
    <w:link w:val="Style_63_ch"/>
  </w:style>
  <w:style w:styleId="Style_63_ch" w:type="character">
    <w:name w:val="Основной шрифт абзаца11"/>
    <w:link w:val="Style_63"/>
  </w:style>
  <w:style w:styleId="Style_64" w:type="paragraph">
    <w:name w:val="p2"/>
    <w:basedOn w:val="Style_5"/>
    <w:link w:val="Style_64_ch"/>
    <w:pPr>
      <w:spacing w:after="280" w:before="280"/>
      <w:ind/>
    </w:pPr>
    <w:rPr>
      <w:sz w:val="24"/>
    </w:rPr>
  </w:style>
  <w:style w:styleId="Style_64_ch" w:type="character">
    <w:name w:val="p2"/>
    <w:basedOn w:val="Style_5_ch"/>
    <w:link w:val="Style_64"/>
    <w:rPr>
      <w:sz w:val="24"/>
    </w:rPr>
  </w:style>
  <w:style w:styleId="Style_65" w:type="paragraph">
    <w:name w:val="ConsNonformat"/>
    <w:link w:val="Style_65_ch"/>
    <w:pPr>
      <w:widowControl w:val="0"/>
      <w:ind w:firstLine="0" w:left="0" w:right="19772"/>
    </w:pPr>
    <w:rPr>
      <w:rFonts w:ascii="Courier New" w:hAnsi="Courier New"/>
      <w:color w:val="000000"/>
      <w:sz w:val="20"/>
    </w:rPr>
  </w:style>
  <w:style w:styleId="Style_65_ch" w:type="character">
    <w:name w:val="ConsNonformat"/>
    <w:link w:val="Style_65"/>
    <w:rPr>
      <w:rFonts w:ascii="Courier New" w:hAnsi="Courier New"/>
      <w:color w:val="000000"/>
      <w:sz w:val="20"/>
    </w:rPr>
  </w:style>
  <w:style w:styleId="Style_66" w:type="paragraph">
    <w:name w:val="Название11"/>
    <w:basedOn w:val="Style_5"/>
    <w:link w:val="Style_66_ch"/>
    <w:pPr>
      <w:spacing w:after="120" w:before="120"/>
      <w:ind/>
    </w:pPr>
    <w:rPr>
      <w:i w:val="1"/>
      <w:sz w:val="24"/>
    </w:rPr>
  </w:style>
  <w:style w:styleId="Style_66_ch" w:type="character">
    <w:name w:val="Название11"/>
    <w:basedOn w:val="Style_5_ch"/>
    <w:link w:val="Style_66"/>
    <w:rPr>
      <w:i w:val="1"/>
      <w:sz w:val="24"/>
    </w:rPr>
  </w:style>
  <w:style w:styleId="Style_67" w:type="paragraph">
    <w:name w:val="Текст примечания"/>
    <w:basedOn w:val="Style_5"/>
    <w:link w:val="Style_67_ch"/>
  </w:style>
  <w:style w:styleId="Style_67_ch" w:type="character">
    <w:name w:val="Текст примечания"/>
    <w:basedOn w:val="Style_5_ch"/>
    <w:link w:val="Style_67"/>
  </w:style>
  <w:style w:styleId="Style_68" w:type="paragraph">
    <w:name w:val="WW8Num7z1"/>
    <w:link w:val="Style_68_ch"/>
    <w:rPr>
      <w:rFonts w:ascii="Courier New" w:hAnsi="Courier New"/>
    </w:rPr>
  </w:style>
  <w:style w:styleId="Style_68_ch" w:type="character">
    <w:name w:val="WW8Num7z1"/>
    <w:link w:val="Style_68"/>
    <w:rPr>
      <w:rFonts w:ascii="Courier New" w:hAnsi="Courier New"/>
    </w:rPr>
  </w:style>
  <w:style w:styleId="Style_69" w:type="paragraph">
    <w:name w:val="Обычный (веб)"/>
    <w:basedOn w:val="Style_5"/>
    <w:link w:val="Style_69_ch"/>
    <w:pPr>
      <w:widowControl w:val="0"/>
      <w:ind/>
    </w:pPr>
    <w:rPr>
      <w:rFonts w:ascii="Arial" w:hAnsi="Arial"/>
      <w:sz w:val="24"/>
    </w:rPr>
  </w:style>
  <w:style w:styleId="Style_69_ch" w:type="character">
    <w:name w:val="Обычный (веб)"/>
    <w:basedOn w:val="Style_5_ch"/>
    <w:link w:val="Style_69"/>
    <w:rPr>
      <w:rFonts w:ascii="Arial" w:hAnsi="Arial"/>
      <w:sz w:val="24"/>
    </w:rPr>
  </w:style>
  <w:style w:styleId="Style_70" w:type="paragraph">
    <w:name w:val="Указатель18"/>
    <w:basedOn w:val="Style_5"/>
    <w:link w:val="Style_70_ch"/>
    <w:rPr>
      <w:sz w:val="24"/>
    </w:rPr>
  </w:style>
  <w:style w:styleId="Style_70_ch" w:type="character">
    <w:name w:val="Указатель18"/>
    <w:basedOn w:val="Style_5_ch"/>
    <w:link w:val="Style_70"/>
    <w:rPr>
      <w:sz w:val="24"/>
    </w:rPr>
  </w:style>
  <w:style w:styleId="Style_71" w:type="paragraph">
    <w:name w:val="ConsPlusCell"/>
    <w:link w:val="Style_71_ch"/>
    <w:pPr>
      <w:widowControl w:val="0"/>
      <w:ind/>
    </w:pPr>
    <w:rPr>
      <w:rFonts w:ascii="Arial" w:hAnsi="Arial"/>
      <w:color w:val="000000"/>
      <w:sz w:val="20"/>
    </w:rPr>
  </w:style>
  <w:style w:styleId="Style_71_ch" w:type="character">
    <w:name w:val="ConsPlusCell"/>
    <w:link w:val="Style_71"/>
    <w:rPr>
      <w:rFonts w:ascii="Arial" w:hAnsi="Arial"/>
      <w:color w:val="000000"/>
      <w:sz w:val="20"/>
    </w:rPr>
  </w:style>
  <w:style w:styleId="Style_72" w:type="paragraph">
    <w:name w:val="WW8Num15z2"/>
    <w:link w:val="Style_72_ch"/>
    <w:rPr>
      <w:rFonts w:ascii="Wingdings" w:hAnsi="Wingdings"/>
    </w:rPr>
  </w:style>
  <w:style w:styleId="Style_72_ch" w:type="character">
    <w:name w:val="WW8Num15z2"/>
    <w:link w:val="Style_72"/>
    <w:rPr>
      <w:rFonts w:ascii="Wingdings" w:hAnsi="Wingdings"/>
    </w:rPr>
  </w:style>
  <w:style w:styleId="Style_73" w:type="paragraph">
    <w:name w:val="Указатель15"/>
    <w:basedOn w:val="Style_5"/>
    <w:link w:val="Style_73_ch"/>
    <w:rPr>
      <w:sz w:val="24"/>
    </w:rPr>
  </w:style>
  <w:style w:styleId="Style_73_ch" w:type="character">
    <w:name w:val="Указатель15"/>
    <w:basedOn w:val="Style_5_ch"/>
    <w:link w:val="Style_73"/>
    <w:rPr>
      <w:sz w:val="24"/>
    </w:rPr>
  </w:style>
  <w:style w:styleId="Style_74" w:type="paragraph">
    <w:name w:val="WW-Absatz-Standardschriftart"/>
    <w:link w:val="Style_74_ch"/>
  </w:style>
  <w:style w:styleId="Style_74_ch" w:type="character">
    <w:name w:val="WW-Absatz-Standardschriftart"/>
    <w:link w:val="Style_74"/>
  </w:style>
  <w:style w:styleId="Style_75" w:type="paragraph">
    <w:name w:val="WW-Absatz-Standardschriftart1111111111111111111111111111111111111"/>
    <w:link w:val="Style_75_ch"/>
  </w:style>
  <w:style w:styleId="Style_75_ch" w:type="character">
    <w:name w:val="WW-Absatz-Standardschriftart1111111111111111111111111111111111111"/>
    <w:link w:val="Style_75"/>
  </w:style>
  <w:style w:styleId="Style_76" w:type="paragraph">
    <w:name w:val="WW-Absatz-Standardschriftart1111111111111111111111"/>
    <w:link w:val="Style_76_ch"/>
  </w:style>
  <w:style w:styleId="Style_76_ch" w:type="character">
    <w:name w:val="WW-Absatz-Standardschriftart1111111111111111111111"/>
    <w:link w:val="Style_76"/>
  </w:style>
  <w:style w:styleId="Style_77" w:type="paragraph">
    <w:name w:val="heading 9"/>
    <w:basedOn w:val="Style_5"/>
    <w:next w:val="Style_5"/>
    <w:link w:val="Style_77_ch"/>
    <w:uiPriority w:val="9"/>
    <w:qFormat/>
    <w:pPr>
      <w:keepNext w:val="1"/>
      <w:numPr>
        <w:ilvl w:val="8"/>
        <w:numId w:val="1"/>
      </w:numPr>
      <w:ind w:firstLine="5245" w:left="0" w:right="0"/>
      <w:jc w:val="center"/>
      <w:outlineLvl w:val="8"/>
    </w:pPr>
    <w:rPr>
      <w:sz w:val="28"/>
    </w:rPr>
  </w:style>
  <w:style w:styleId="Style_77_ch" w:type="character">
    <w:name w:val="heading 9"/>
    <w:basedOn w:val="Style_5_ch"/>
    <w:link w:val="Style_77"/>
    <w:rPr>
      <w:sz w:val="28"/>
    </w:rPr>
  </w:style>
  <w:style w:styleId="Style_78" w:type="paragraph">
    <w:name w:val="Знак Знак Знак Знак Знак Знак Знак Знак Знак Знак Знак Знак Знак"/>
    <w:basedOn w:val="Style_5"/>
    <w:link w:val="Style_78_ch"/>
    <w:pPr>
      <w:spacing w:after="280" w:before="280"/>
      <w:ind/>
    </w:pPr>
    <w:rPr>
      <w:rFonts w:ascii="Tahoma" w:hAnsi="Tahoma"/>
    </w:rPr>
  </w:style>
  <w:style w:styleId="Style_78_ch" w:type="character">
    <w:name w:val="Знак Знак Знак Знак Знак Знак Знак Знак Знак Знак Знак Знак Знак"/>
    <w:basedOn w:val="Style_5_ch"/>
    <w:link w:val="Style_78"/>
    <w:rPr>
      <w:rFonts w:ascii="Tahoma" w:hAnsi="Tahoma"/>
    </w:rPr>
  </w:style>
  <w:style w:styleId="Style_79" w:type="paragraph">
    <w:name w:val="Указатель2"/>
    <w:basedOn w:val="Style_5"/>
    <w:link w:val="Style_79_ch"/>
    <w:rPr>
      <w:sz w:val="24"/>
    </w:rPr>
  </w:style>
  <w:style w:styleId="Style_79_ch" w:type="character">
    <w:name w:val="Указатель2"/>
    <w:basedOn w:val="Style_5_ch"/>
    <w:link w:val="Style_79"/>
    <w:rPr>
      <w:sz w:val="24"/>
    </w:rPr>
  </w:style>
  <w:style w:styleId="Style_80" w:type="paragraph">
    <w:name w:val="Default Paragraph Font"/>
    <w:link w:val="Style_80_ch"/>
  </w:style>
  <w:style w:styleId="Style_80_ch" w:type="character">
    <w:name w:val="Default Paragraph Font"/>
    <w:link w:val="Style_80"/>
  </w:style>
  <w:style w:styleId="Style_1" w:type="paragraph">
    <w:name w:val="header"/>
    <w:basedOn w:val="Style_5"/>
    <w:link w:val="Style_1_ch"/>
    <w:pPr>
      <w:tabs>
        <w:tab w:leader="none" w:pos="4677" w:val="center"/>
        <w:tab w:leader="none" w:pos="9355" w:val="right"/>
      </w:tabs>
      <w:ind/>
    </w:pPr>
    <w:rPr>
      <w:sz w:val="28"/>
    </w:rPr>
  </w:style>
  <w:style w:styleId="Style_1_ch" w:type="character">
    <w:name w:val="header"/>
    <w:basedOn w:val="Style_5_ch"/>
    <w:link w:val="Style_1"/>
    <w:rPr>
      <w:sz w:val="28"/>
    </w:rPr>
  </w:style>
  <w:style w:styleId="Style_3" w:type="paragraph">
    <w:name w:val="page number"/>
    <w:basedOn w:val="Style_81"/>
    <w:link w:val="Style_3_ch"/>
  </w:style>
  <w:style w:styleId="Style_3_ch" w:type="character">
    <w:name w:val="page number"/>
    <w:basedOn w:val="Style_81_ch"/>
    <w:link w:val="Style_3"/>
  </w:style>
  <w:style w:styleId="Style_82" w:type="paragraph">
    <w:name w:val="Список определений"/>
    <w:basedOn w:val="Style_5"/>
    <w:next w:val="Style_5"/>
    <w:link w:val="Style_82_ch"/>
    <w:pPr>
      <w:widowControl w:val="0"/>
      <w:ind w:firstLine="0" w:left="360" w:right="0"/>
    </w:pPr>
    <w:rPr>
      <w:sz w:val="24"/>
    </w:rPr>
  </w:style>
  <w:style w:styleId="Style_82_ch" w:type="character">
    <w:name w:val="Список определений"/>
    <w:basedOn w:val="Style_5_ch"/>
    <w:link w:val="Style_82"/>
    <w:rPr>
      <w:sz w:val="24"/>
    </w:rPr>
  </w:style>
  <w:style w:styleId="Style_83" w:type="paragraph">
    <w:name w:val=" Знак Знак"/>
    <w:basedOn w:val="Style_5"/>
    <w:link w:val="Style_83_ch"/>
    <w:rPr>
      <w:rFonts w:ascii="Verdana" w:hAnsi="Verdana"/>
    </w:rPr>
  </w:style>
  <w:style w:styleId="Style_83_ch" w:type="character">
    <w:name w:val=" Знак Знак"/>
    <w:basedOn w:val="Style_5_ch"/>
    <w:link w:val="Style_83"/>
    <w:rPr>
      <w:rFonts w:ascii="Verdana" w:hAnsi="Verdana"/>
    </w:rPr>
  </w:style>
  <w:style w:styleId="Style_84" w:type="paragraph">
    <w:name w:val="List"/>
    <w:basedOn w:val="Style_23"/>
    <w:link w:val="Style_84_ch"/>
    <w:pPr>
      <w:spacing w:after="120" w:before="0" w:line="276" w:lineRule="auto"/>
      <w:ind/>
      <w:jc w:val="left"/>
    </w:pPr>
    <w:rPr>
      <w:rFonts w:ascii="Calibri" w:hAnsi="Calibri"/>
      <w:sz w:val="22"/>
    </w:rPr>
  </w:style>
  <w:style w:styleId="Style_84_ch" w:type="character">
    <w:name w:val="List"/>
    <w:basedOn w:val="Style_23_ch"/>
    <w:link w:val="Style_84"/>
    <w:rPr>
      <w:rFonts w:ascii="Calibri" w:hAnsi="Calibri"/>
      <w:sz w:val="22"/>
    </w:rPr>
  </w:style>
  <w:style w:styleId="Style_85" w:type="paragraph">
    <w:name w:val="p16"/>
    <w:basedOn w:val="Style_5"/>
    <w:link w:val="Style_85_ch"/>
    <w:pPr>
      <w:spacing w:after="280" w:before="280"/>
      <w:ind/>
    </w:pPr>
    <w:rPr>
      <w:sz w:val="24"/>
    </w:rPr>
  </w:style>
  <w:style w:styleId="Style_85_ch" w:type="character">
    <w:name w:val="p16"/>
    <w:basedOn w:val="Style_5_ch"/>
    <w:link w:val="Style_85"/>
    <w:rPr>
      <w:sz w:val="24"/>
    </w:rPr>
  </w:style>
  <w:style w:styleId="Style_86" w:type="paragraph">
    <w:name w:val="Знак"/>
    <w:basedOn w:val="Style_5"/>
    <w:link w:val="Style_86_ch"/>
    <w:pPr>
      <w:spacing w:after="160" w:before="0" w:line="240" w:lineRule="exact"/>
      <w:ind/>
    </w:pPr>
    <w:rPr>
      <w:rFonts w:ascii="Verdana" w:hAnsi="Verdana"/>
    </w:rPr>
  </w:style>
  <w:style w:styleId="Style_86_ch" w:type="character">
    <w:name w:val="Знак"/>
    <w:basedOn w:val="Style_5_ch"/>
    <w:link w:val="Style_86"/>
    <w:rPr>
      <w:rFonts w:ascii="Verdana" w:hAnsi="Verdana"/>
    </w:rPr>
  </w:style>
  <w:style w:styleId="Style_87" w:type="paragraph">
    <w:name w:val="WW8Num9z0"/>
    <w:link w:val="Style_87_ch"/>
  </w:style>
  <w:style w:styleId="Style_87_ch" w:type="character">
    <w:name w:val="WW8Num9z0"/>
    <w:link w:val="Style_87"/>
  </w:style>
  <w:style w:styleId="Style_88" w:type="paragraph">
    <w:name w:val="Символ нумерации"/>
    <w:link w:val="Style_88_ch"/>
  </w:style>
  <w:style w:styleId="Style_88_ch" w:type="character">
    <w:name w:val="Символ нумерации"/>
    <w:link w:val="Style_88"/>
  </w:style>
  <w:style w:styleId="Style_89" w:type="paragraph">
    <w:name w:val="Указатель19"/>
    <w:basedOn w:val="Style_5"/>
    <w:link w:val="Style_89_ch"/>
    <w:rPr>
      <w:sz w:val="24"/>
    </w:rPr>
  </w:style>
  <w:style w:styleId="Style_89_ch" w:type="character">
    <w:name w:val="Указатель19"/>
    <w:basedOn w:val="Style_5_ch"/>
    <w:link w:val="Style_89"/>
    <w:rPr>
      <w:sz w:val="24"/>
    </w:rPr>
  </w:style>
  <w:style w:styleId="Style_90" w:type="paragraph">
    <w:name w:val="Знак Знак Знак1 Знак"/>
    <w:basedOn w:val="Style_5"/>
    <w:link w:val="Style_90_ch"/>
    <w:pPr>
      <w:spacing w:after="280" w:before="280"/>
      <w:ind/>
    </w:pPr>
    <w:rPr>
      <w:rFonts w:ascii="Tahoma" w:hAnsi="Tahoma"/>
    </w:rPr>
  </w:style>
  <w:style w:styleId="Style_90_ch" w:type="character">
    <w:name w:val="Знак Знак Знак1 Знак"/>
    <w:basedOn w:val="Style_5_ch"/>
    <w:link w:val="Style_90"/>
    <w:rPr>
      <w:rFonts w:ascii="Tahoma" w:hAnsi="Tahoma"/>
    </w:rPr>
  </w:style>
  <w:style w:styleId="Style_91" w:type="paragraph">
    <w:name w:val="WW-Absatz-Standardschriftart1111111111111111111111111111111"/>
    <w:link w:val="Style_91_ch"/>
  </w:style>
  <w:style w:styleId="Style_91_ch" w:type="character">
    <w:name w:val="WW-Absatz-Standardschriftart1111111111111111111111111111111"/>
    <w:link w:val="Style_91"/>
  </w:style>
  <w:style w:styleId="Style_92" w:type="paragraph">
    <w:name w:val="WW8Num8z0"/>
    <w:link w:val="Style_92_ch"/>
  </w:style>
  <w:style w:styleId="Style_92_ch" w:type="character">
    <w:name w:val="WW8Num8z0"/>
    <w:link w:val="Style_92"/>
  </w:style>
  <w:style w:styleId="Style_93" w:type="paragraph">
    <w:name w:val="Основной шрифт абзаца13"/>
    <w:link w:val="Style_93_ch"/>
  </w:style>
  <w:style w:styleId="Style_93_ch" w:type="character">
    <w:name w:val="Основной шрифт абзаца13"/>
    <w:link w:val="Style_93"/>
  </w:style>
  <w:style w:styleId="Style_94" w:type="paragraph">
    <w:name w:val="Указатель8"/>
    <w:basedOn w:val="Style_5"/>
    <w:link w:val="Style_94_ch"/>
    <w:rPr>
      <w:sz w:val="24"/>
    </w:rPr>
  </w:style>
  <w:style w:styleId="Style_94_ch" w:type="character">
    <w:name w:val="Указатель8"/>
    <w:basedOn w:val="Style_5_ch"/>
    <w:link w:val="Style_94"/>
    <w:rPr>
      <w:sz w:val="24"/>
    </w:rPr>
  </w:style>
  <w:style w:styleId="Style_95" w:type="paragraph">
    <w:name w:val="WW8Num8z1"/>
    <w:link w:val="Style_95_ch"/>
    <w:rPr>
      <w:rFonts w:ascii="Courier New" w:hAnsi="Courier New"/>
    </w:rPr>
  </w:style>
  <w:style w:styleId="Style_95_ch" w:type="character">
    <w:name w:val="WW8Num8z1"/>
    <w:link w:val="Style_95"/>
    <w:rPr>
      <w:rFonts w:ascii="Courier New" w:hAnsi="Courier New"/>
    </w:rPr>
  </w:style>
  <w:style w:styleId="Style_96" w:type="paragraph">
    <w:name w:val="WW8Num13z0"/>
    <w:link w:val="Style_96_ch"/>
  </w:style>
  <w:style w:styleId="Style_96_ch" w:type="character">
    <w:name w:val="WW8Num13z0"/>
    <w:link w:val="Style_96"/>
  </w:style>
  <w:style w:styleId="Style_97" w:type="paragraph">
    <w:name w:val="Основной шрифт абзаца12"/>
    <w:link w:val="Style_97_ch"/>
  </w:style>
  <w:style w:styleId="Style_97_ch" w:type="character">
    <w:name w:val="Основной шрифт абзаца12"/>
    <w:link w:val="Style_97"/>
  </w:style>
  <w:style w:styleId="Style_98" w:type="paragraph">
    <w:name w:val="WW-Absatz-Standardschriftart11111111111111111111111111111111111111"/>
    <w:link w:val="Style_98_ch"/>
  </w:style>
  <w:style w:styleId="Style_98_ch" w:type="character">
    <w:name w:val="WW-Absatz-Standardschriftart11111111111111111111111111111111111111"/>
    <w:link w:val="Style_98"/>
  </w:style>
  <w:style w:styleId="Style_99" w:type="paragraph">
    <w:name w:val="Название4"/>
    <w:basedOn w:val="Style_5"/>
    <w:link w:val="Style_99_ch"/>
    <w:pPr>
      <w:spacing w:after="120" w:before="120"/>
      <w:ind/>
    </w:pPr>
    <w:rPr>
      <w:i w:val="1"/>
      <w:sz w:val="24"/>
    </w:rPr>
  </w:style>
  <w:style w:styleId="Style_99_ch" w:type="character">
    <w:name w:val="Название4"/>
    <w:basedOn w:val="Style_5_ch"/>
    <w:link w:val="Style_99"/>
    <w:rPr>
      <w:i w:val="1"/>
      <w:sz w:val="24"/>
    </w:rPr>
  </w:style>
  <w:style w:styleId="Style_100" w:type="paragraph">
    <w:name w:val="WW8Num23z0"/>
    <w:link w:val="Style_100_ch"/>
  </w:style>
  <w:style w:styleId="Style_100_ch" w:type="character">
    <w:name w:val="WW8Num23z0"/>
    <w:link w:val="Style_100"/>
  </w:style>
  <w:style w:styleId="Style_101" w:type="paragraph">
    <w:name w:val="Font Style28"/>
    <w:link w:val="Style_101_ch"/>
    <w:rPr>
      <w:rFonts w:ascii="Times New Roman" w:hAnsi="Times New Roman"/>
      <w:color w:val="000000"/>
      <w:sz w:val="26"/>
    </w:rPr>
  </w:style>
  <w:style w:styleId="Style_101_ch" w:type="character">
    <w:name w:val="Font Style28"/>
    <w:link w:val="Style_101"/>
    <w:rPr>
      <w:rFonts w:ascii="Times New Roman" w:hAnsi="Times New Roman"/>
      <w:color w:val="000000"/>
      <w:sz w:val="26"/>
    </w:rPr>
  </w:style>
  <w:style w:styleId="Style_102" w:type="paragraph">
    <w:name w:val=" Знак Знак4"/>
    <w:link w:val="Style_102_ch"/>
    <w:rPr>
      <w:rFonts w:ascii="Calibri" w:hAnsi="Calibri"/>
      <w:sz w:val="22"/>
    </w:rPr>
  </w:style>
  <w:style w:styleId="Style_102_ch" w:type="character">
    <w:name w:val=" Знак Знак4"/>
    <w:link w:val="Style_102"/>
    <w:rPr>
      <w:rFonts w:ascii="Calibri" w:hAnsi="Calibri"/>
      <w:sz w:val="22"/>
    </w:rPr>
  </w:style>
  <w:style w:styleId="Style_103" w:type="paragraph">
    <w:name w:val="WW8Num14z0"/>
    <w:link w:val="Style_103_ch"/>
    <w:rPr>
      <w:rFonts w:ascii="Symbol" w:hAnsi="Symbol"/>
      <w:sz w:val="28"/>
    </w:rPr>
  </w:style>
  <w:style w:styleId="Style_103_ch" w:type="character">
    <w:name w:val="WW8Num14z0"/>
    <w:link w:val="Style_103"/>
    <w:rPr>
      <w:rFonts w:ascii="Symbol" w:hAnsi="Symbol"/>
      <w:sz w:val="28"/>
    </w:rPr>
  </w:style>
  <w:style w:styleId="Style_104" w:type="paragraph">
    <w:name w:val="WW8Num14z3"/>
    <w:link w:val="Style_104_ch"/>
    <w:rPr>
      <w:rFonts w:ascii="Symbol" w:hAnsi="Symbol"/>
    </w:rPr>
  </w:style>
  <w:style w:styleId="Style_104_ch" w:type="character">
    <w:name w:val="WW8Num14z3"/>
    <w:link w:val="Style_104"/>
    <w:rPr>
      <w:rFonts w:ascii="Symbol" w:hAnsi="Symbol"/>
    </w:rPr>
  </w:style>
  <w:style w:styleId="Style_105" w:type="paragraph">
    <w:name w:val="WW-Absatz-Standardschriftart1111111111111111111"/>
    <w:link w:val="Style_105_ch"/>
  </w:style>
  <w:style w:styleId="Style_105_ch" w:type="character">
    <w:name w:val="WW-Absatz-Standardschriftart1111111111111111111"/>
    <w:link w:val="Style_105"/>
  </w:style>
  <w:style w:styleId="Style_106" w:type="paragraph">
    <w:name w:val="Font Style11"/>
    <w:link w:val="Style_106_ch"/>
    <w:rPr>
      <w:rFonts w:ascii="Times New Roman" w:hAnsi="Times New Roman"/>
      <w:sz w:val="16"/>
    </w:rPr>
  </w:style>
  <w:style w:styleId="Style_106_ch" w:type="character">
    <w:name w:val="Font Style11"/>
    <w:link w:val="Style_106"/>
    <w:rPr>
      <w:rFonts w:ascii="Times New Roman" w:hAnsi="Times New Roman"/>
      <w:sz w:val="16"/>
    </w:rPr>
  </w:style>
  <w:style w:styleId="Style_107" w:type="paragraph">
    <w:name w:val="msonormalcxspmiddlecxsplast"/>
    <w:basedOn w:val="Style_5"/>
    <w:link w:val="Style_107_ch"/>
    <w:pPr>
      <w:spacing w:after="280" w:before="280"/>
      <w:ind/>
    </w:pPr>
    <w:rPr>
      <w:sz w:val="24"/>
    </w:rPr>
  </w:style>
  <w:style w:styleId="Style_107_ch" w:type="character">
    <w:name w:val="msonormalcxspmiddlecxsplast"/>
    <w:basedOn w:val="Style_5_ch"/>
    <w:link w:val="Style_107"/>
    <w:rPr>
      <w:sz w:val="24"/>
    </w:rPr>
  </w:style>
  <w:style w:styleId="Style_108" w:type="paragraph">
    <w:name w:val="Нижний колонтитул Знак"/>
    <w:link w:val="Style_108_ch"/>
  </w:style>
  <w:style w:styleId="Style_108_ch" w:type="character">
    <w:name w:val="Нижний колонтитул Знак"/>
    <w:link w:val="Style_108"/>
  </w:style>
  <w:style w:styleId="Style_109" w:type="paragraph">
    <w:name w:val="ConsNormal"/>
    <w:link w:val="Style_109_ch"/>
    <w:pPr>
      <w:widowControl w:val="0"/>
      <w:ind w:firstLine="720" w:left="0" w:right="19772"/>
    </w:pPr>
    <w:rPr>
      <w:rFonts w:ascii="Times New Roman" w:hAnsi="Times New Roman"/>
      <w:color w:val="000000"/>
      <w:sz w:val="16"/>
    </w:rPr>
  </w:style>
  <w:style w:styleId="Style_109_ch" w:type="character">
    <w:name w:val="ConsNormal"/>
    <w:link w:val="Style_109"/>
    <w:rPr>
      <w:rFonts w:ascii="Times New Roman" w:hAnsi="Times New Roman"/>
      <w:color w:val="000000"/>
      <w:sz w:val="16"/>
    </w:rPr>
  </w:style>
  <w:style w:styleId="Style_110" w:type="paragraph">
    <w:name w:val="Основной шрифт абзаца15"/>
    <w:link w:val="Style_110_ch"/>
  </w:style>
  <w:style w:styleId="Style_110_ch" w:type="character">
    <w:name w:val="Основной шрифт абзаца15"/>
    <w:link w:val="Style_110"/>
  </w:style>
  <w:style w:styleId="Style_111" w:type="paragraph">
    <w:name w:val="Absatz-Standardschriftart"/>
    <w:link w:val="Style_111_ch"/>
  </w:style>
  <w:style w:styleId="Style_111_ch" w:type="character">
    <w:name w:val="Absatz-Standardschriftart"/>
    <w:link w:val="Style_111"/>
  </w:style>
  <w:style w:styleId="Style_112" w:type="paragraph">
    <w:name w:val="Основной шрифт абзаца1"/>
    <w:link w:val="Style_112_ch"/>
  </w:style>
  <w:style w:styleId="Style_112_ch" w:type="character">
    <w:name w:val="Основной шрифт абзаца1"/>
    <w:link w:val="Style_112"/>
  </w:style>
  <w:style w:styleId="Style_113" w:type="paragraph">
    <w:name w:val="Указатель12"/>
    <w:basedOn w:val="Style_5"/>
    <w:link w:val="Style_113_ch"/>
    <w:rPr>
      <w:sz w:val="24"/>
    </w:rPr>
  </w:style>
  <w:style w:styleId="Style_113_ch" w:type="character">
    <w:name w:val="Указатель12"/>
    <w:basedOn w:val="Style_5_ch"/>
    <w:link w:val="Style_113"/>
    <w:rPr>
      <w:sz w:val="24"/>
    </w:rPr>
  </w:style>
  <w:style w:styleId="Style_114" w:type="paragraph">
    <w:name w:val="WW8Num25z0"/>
    <w:link w:val="Style_114_ch"/>
  </w:style>
  <w:style w:styleId="Style_114_ch" w:type="character">
    <w:name w:val="WW8Num25z0"/>
    <w:link w:val="Style_114"/>
  </w:style>
  <w:style w:styleId="Style_115" w:type="paragraph">
    <w:name w:val="WW8Num26z0"/>
    <w:link w:val="Style_115_ch"/>
  </w:style>
  <w:style w:styleId="Style_115_ch" w:type="character">
    <w:name w:val="WW8Num26z0"/>
    <w:link w:val="Style_115"/>
  </w:style>
  <w:style w:styleId="Style_116" w:type="paragraph">
    <w:name w:val="WW8Num4z0"/>
    <w:link w:val="Style_116_ch"/>
    <w:rPr>
      <w:rFonts w:ascii="Symbol" w:hAnsi="Symbol"/>
    </w:rPr>
  </w:style>
  <w:style w:styleId="Style_116_ch" w:type="character">
    <w:name w:val="WW8Num4z0"/>
    <w:link w:val="Style_116"/>
    <w:rPr>
      <w:rFonts w:ascii="Symbol" w:hAnsi="Symbol"/>
    </w:rPr>
  </w:style>
  <w:style w:styleId="Style_117" w:type="paragraph">
    <w:name w:val="caption"/>
    <w:basedOn w:val="Style_5"/>
    <w:link w:val="Style_117_ch"/>
    <w:pPr>
      <w:spacing w:after="120" w:before="120"/>
      <w:ind/>
    </w:pPr>
    <w:rPr>
      <w:i w:val="1"/>
      <w:sz w:val="24"/>
    </w:rPr>
  </w:style>
  <w:style w:styleId="Style_117_ch" w:type="character">
    <w:name w:val="caption"/>
    <w:basedOn w:val="Style_5_ch"/>
    <w:link w:val="Style_117"/>
    <w:rPr>
      <w:i w:val="1"/>
      <w:sz w:val="24"/>
    </w:rPr>
  </w:style>
  <w:style w:styleId="Style_118" w:type="paragraph">
    <w:name w:val="WW8Num22z3"/>
    <w:link w:val="Style_118_ch"/>
    <w:rPr>
      <w:rFonts w:ascii="Symbol" w:hAnsi="Symbol"/>
    </w:rPr>
  </w:style>
  <w:style w:styleId="Style_118_ch" w:type="character">
    <w:name w:val="WW8Num22z3"/>
    <w:link w:val="Style_118"/>
    <w:rPr>
      <w:rFonts w:ascii="Symbol" w:hAnsi="Symbol"/>
    </w:rPr>
  </w:style>
  <w:style w:styleId="Style_119" w:type="paragraph">
    <w:name w:val="Основной текст 2 Знак"/>
    <w:link w:val="Style_119_ch"/>
  </w:style>
  <w:style w:styleId="Style_119_ch" w:type="character">
    <w:name w:val="Основной текст 2 Знак"/>
    <w:link w:val="Style_119"/>
  </w:style>
  <w:style w:styleId="Style_120" w:type="paragraph">
    <w:name w:val="msonormalcxsplast"/>
    <w:basedOn w:val="Style_5"/>
    <w:link w:val="Style_120_ch"/>
    <w:pPr>
      <w:widowControl w:val="0"/>
      <w:ind/>
    </w:pPr>
    <w:rPr>
      <w:rFonts w:ascii="Arial" w:hAnsi="Arial"/>
      <w:sz w:val="24"/>
    </w:rPr>
  </w:style>
  <w:style w:styleId="Style_120_ch" w:type="character">
    <w:name w:val="msonormalcxsplast"/>
    <w:basedOn w:val="Style_5_ch"/>
    <w:link w:val="Style_120"/>
    <w:rPr>
      <w:rFonts w:ascii="Arial" w:hAnsi="Arial"/>
      <w:sz w:val="24"/>
    </w:rPr>
  </w:style>
  <w:style w:styleId="Style_121" w:type="paragraph">
    <w:name w:val="toc 3"/>
    <w:next w:val="Style_5"/>
    <w:link w:val="Style_121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21_ch" w:type="character">
    <w:name w:val="toc 3"/>
    <w:link w:val="Style_121"/>
    <w:rPr>
      <w:rFonts w:ascii="XO Thames" w:hAnsi="XO Thames"/>
      <w:sz w:val="28"/>
    </w:rPr>
  </w:style>
  <w:style w:styleId="Style_122" w:type="paragraph">
    <w:name w:val="WW8Num21z0"/>
    <w:link w:val="Style_122_ch"/>
  </w:style>
  <w:style w:styleId="Style_122_ch" w:type="character">
    <w:name w:val="WW8Num21z0"/>
    <w:link w:val="Style_122"/>
  </w:style>
  <w:style w:styleId="Style_123" w:type="paragraph">
    <w:name w:val="Текст выноски Знак"/>
    <w:link w:val="Style_123_ch"/>
    <w:rPr>
      <w:rFonts w:ascii="Tahoma" w:hAnsi="Tahoma"/>
      <w:sz w:val="16"/>
    </w:rPr>
  </w:style>
  <w:style w:styleId="Style_123_ch" w:type="character">
    <w:name w:val="Текст выноски Знак"/>
    <w:link w:val="Style_123"/>
    <w:rPr>
      <w:rFonts w:ascii="Tahoma" w:hAnsi="Tahoma"/>
      <w:sz w:val="16"/>
    </w:rPr>
  </w:style>
  <w:style w:styleId="Style_124" w:type="paragraph">
    <w:name w:val="Основной шрифт абзаца14"/>
    <w:link w:val="Style_124_ch"/>
  </w:style>
  <w:style w:styleId="Style_124_ch" w:type="character">
    <w:name w:val="Основной шрифт абзаца14"/>
    <w:link w:val="Style_124"/>
  </w:style>
  <w:style w:styleId="Style_125" w:type="paragraph">
    <w:name w:val="WW8Num6z0"/>
    <w:link w:val="Style_125_ch"/>
  </w:style>
  <w:style w:styleId="Style_125_ch" w:type="character">
    <w:name w:val="WW8Num6z0"/>
    <w:link w:val="Style_125"/>
  </w:style>
  <w:style w:styleId="Style_23" w:type="paragraph">
    <w:name w:val="Body Text"/>
    <w:basedOn w:val="Style_5"/>
    <w:link w:val="Style_23_ch"/>
    <w:pPr>
      <w:ind/>
      <w:jc w:val="right"/>
    </w:pPr>
    <w:rPr>
      <w:sz w:val="28"/>
    </w:rPr>
  </w:style>
  <w:style w:styleId="Style_23_ch" w:type="character">
    <w:name w:val="Body Text"/>
    <w:basedOn w:val="Style_5_ch"/>
    <w:link w:val="Style_23"/>
    <w:rPr>
      <w:sz w:val="28"/>
    </w:rPr>
  </w:style>
  <w:style w:styleId="Style_126" w:type="paragraph">
    <w:name w:val="Основной шрифт абзаца8"/>
    <w:link w:val="Style_126_ch"/>
  </w:style>
  <w:style w:styleId="Style_126_ch" w:type="character">
    <w:name w:val="Основной шрифт абзаца8"/>
    <w:link w:val="Style_126"/>
  </w:style>
  <w:style w:styleId="Style_127" w:type="paragraph">
    <w:name w:val="Знак Знак Знак Знак"/>
    <w:basedOn w:val="Style_5"/>
    <w:link w:val="Style_127_ch"/>
    <w:pPr>
      <w:spacing w:after="280" w:before="280"/>
      <w:ind/>
    </w:pPr>
    <w:rPr>
      <w:rFonts w:ascii="Tahoma" w:hAnsi="Tahoma"/>
      <w:sz w:val="24"/>
    </w:rPr>
  </w:style>
  <w:style w:styleId="Style_127_ch" w:type="character">
    <w:name w:val="Знак Знак Знак Знак"/>
    <w:basedOn w:val="Style_5_ch"/>
    <w:link w:val="Style_127"/>
    <w:rPr>
      <w:rFonts w:ascii="Tahoma" w:hAnsi="Tahoma"/>
      <w:sz w:val="24"/>
    </w:rPr>
  </w:style>
  <w:style w:styleId="Style_128" w:type="paragraph">
    <w:name w:val="Без интервала"/>
    <w:link w:val="Style_128_ch"/>
    <w:pPr>
      <w:widowControl w:val="1"/>
      <w:ind/>
    </w:pPr>
    <w:rPr>
      <w:rFonts w:ascii="Times New Roman" w:hAnsi="Times New Roman"/>
      <w:color w:val="000000"/>
      <w:sz w:val="28"/>
    </w:rPr>
  </w:style>
  <w:style w:styleId="Style_128_ch" w:type="character">
    <w:name w:val="Без интервала"/>
    <w:link w:val="Style_128"/>
    <w:rPr>
      <w:rFonts w:ascii="Times New Roman" w:hAnsi="Times New Roman"/>
      <w:color w:val="000000"/>
      <w:sz w:val="28"/>
    </w:rPr>
  </w:style>
  <w:style w:styleId="Style_129" w:type="paragraph">
    <w:name w:val="WW-Absatz-Standardschriftart111111111111111111111111"/>
    <w:link w:val="Style_129_ch"/>
  </w:style>
  <w:style w:styleId="Style_129_ch" w:type="character">
    <w:name w:val="WW-Absatz-Standardschriftart111111111111111111111111"/>
    <w:link w:val="Style_129"/>
  </w:style>
  <w:style w:styleId="Style_130" w:type="paragraph">
    <w:name w:val="msonormalcxspmiddle"/>
    <w:basedOn w:val="Style_5"/>
    <w:link w:val="Style_130_ch"/>
    <w:pPr>
      <w:spacing w:after="280" w:before="280"/>
      <w:ind/>
    </w:pPr>
    <w:rPr>
      <w:sz w:val="24"/>
    </w:rPr>
  </w:style>
  <w:style w:styleId="Style_130_ch" w:type="character">
    <w:name w:val="msonormalcxspmiddle"/>
    <w:basedOn w:val="Style_5_ch"/>
    <w:link w:val="Style_130"/>
    <w:rPr>
      <w:sz w:val="24"/>
    </w:rPr>
  </w:style>
  <w:style w:styleId="Style_131" w:type="paragraph">
    <w:name w:val="Содержимое врезки"/>
    <w:basedOn w:val="Style_23"/>
    <w:link w:val="Style_131_ch"/>
    <w:pPr>
      <w:spacing w:after="120" w:before="0" w:line="276" w:lineRule="auto"/>
      <w:ind/>
      <w:jc w:val="left"/>
    </w:pPr>
    <w:rPr>
      <w:rFonts w:ascii="Calibri" w:hAnsi="Calibri"/>
      <w:sz w:val="22"/>
    </w:rPr>
  </w:style>
  <w:style w:styleId="Style_131_ch" w:type="character">
    <w:name w:val="Содержимое врезки"/>
    <w:basedOn w:val="Style_23_ch"/>
    <w:link w:val="Style_131"/>
    <w:rPr>
      <w:rFonts w:ascii="Calibri" w:hAnsi="Calibri"/>
      <w:sz w:val="22"/>
    </w:rPr>
  </w:style>
  <w:style w:styleId="Style_132" w:type="paragraph">
    <w:name w:val="Заголовок 4 Знак"/>
    <w:link w:val="Style_132_ch"/>
    <w:rPr>
      <w:sz w:val="28"/>
    </w:rPr>
  </w:style>
  <w:style w:styleId="Style_132_ch" w:type="character">
    <w:name w:val="Заголовок 4 Знак"/>
    <w:link w:val="Style_132"/>
    <w:rPr>
      <w:sz w:val="28"/>
    </w:rPr>
  </w:style>
  <w:style w:styleId="Style_133" w:type="paragraph">
    <w:name w:val="Основной шрифт абзаца7"/>
    <w:link w:val="Style_133_ch"/>
  </w:style>
  <w:style w:styleId="Style_133_ch" w:type="character">
    <w:name w:val="Основной шрифт абзаца7"/>
    <w:link w:val="Style_133"/>
  </w:style>
  <w:style w:styleId="Style_134" w:type="paragraph">
    <w:name w:val="Указатель9"/>
    <w:basedOn w:val="Style_5"/>
    <w:link w:val="Style_134_ch"/>
    <w:rPr>
      <w:sz w:val="24"/>
    </w:rPr>
  </w:style>
  <w:style w:styleId="Style_134_ch" w:type="character">
    <w:name w:val="Указатель9"/>
    <w:basedOn w:val="Style_5_ch"/>
    <w:link w:val="Style_134"/>
    <w:rPr>
      <w:sz w:val="24"/>
    </w:rPr>
  </w:style>
  <w:style w:styleId="Style_135" w:type="paragraph">
    <w:name w:val="List Paragraph"/>
    <w:basedOn w:val="Style_5"/>
    <w:link w:val="Style_135_ch"/>
    <w:pPr>
      <w:spacing w:after="120" w:before="0" w:line="360" w:lineRule="auto"/>
      <w:ind w:firstLine="709" w:left="720" w:right="0"/>
    </w:pPr>
    <w:rPr>
      <w:rFonts w:ascii="Calibri" w:hAnsi="Calibri"/>
      <w:sz w:val="22"/>
    </w:rPr>
  </w:style>
  <w:style w:styleId="Style_135_ch" w:type="character">
    <w:name w:val="List Paragraph"/>
    <w:basedOn w:val="Style_5_ch"/>
    <w:link w:val="Style_135"/>
    <w:rPr>
      <w:rFonts w:ascii="Calibri" w:hAnsi="Calibri"/>
      <w:sz w:val="22"/>
    </w:rPr>
  </w:style>
  <w:style w:styleId="Style_136" w:type="paragraph">
    <w:name w:val="Указатель14"/>
    <w:basedOn w:val="Style_5"/>
    <w:link w:val="Style_136_ch"/>
    <w:rPr>
      <w:sz w:val="24"/>
    </w:rPr>
  </w:style>
  <w:style w:styleId="Style_136_ch" w:type="character">
    <w:name w:val="Указатель14"/>
    <w:basedOn w:val="Style_5_ch"/>
    <w:link w:val="Style_136"/>
    <w:rPr>
      <w:sz w:val="24"/>
    </w:rPr>
  </w:style>
  <w:style w:styleId="Style_137" w:type="paragraph">
    <w:name w:val="WW-Absatz-Standardschriftart1111111111111111111111111111111111111111111"/>
    <w:link w:val="Style_137_ch"/>
  </w:style>
  <w:style w:styleId="Style_137_ch" w:type="character">
    <w:name w:val="WW-Absatz-Standardschriftart1111111111111111111111111111111111111111111"/>
    <w:link w:val="Style_137"/>
  </w:style>
  <w:style w:styleId="Style_138" w:type="paragraph">
    <w:name w:val="Основной шрифт абзаца9"/>
    <w:link w:val="Style_138_ch"/>
  </w:style>
  <w:style w:styleId="Style_138_ch" w:type="character">
    <w:name w:val="Основной шрифт абзаца9"/>
    <w:link w:val="Style_138"/>
  </w:style>
  <w:style w:styleId="Style_139" w:type="paragraph">
    <w:name w:val="WW-Absatz-Standardschriftart1111111111111111111111111111"/>
    <w:link w:val="Style_139_ch"/>
  </w:style>
  <w:style w:styleId="Style_139_ch" w:type="character">
    <w:name w:val="WW-Absatz-Standardschriftart1111111111111111111111111111"/>
    <w:link w:val="Style_139"/>
  </w:style>
  <w:style w:styleId="Style_140" w:type="paragraph">
    <w:name w:val="Основной шрифт абзаца4"/>
    <w:link w:val="Style_140_ch"/>
  </w:style>
  <w:style w:styleId="Style_140_ch" w:type="character">
    <w:name w:val="Основной шрифт абзаца4"/>
    <w:link w:val="Style_140"/>
  </w:style>
  <w:style w:styleId="Style_141" w:type="paragraph">
    <w:name w:val="WW8Num15z1"/>
    <w:link w:val="Style_141_ch"/>
    <w:rPr>
      <w:rFonts w:ascii="Courier New" w:hAnsi="Courier New"/>
    </w:rPr>
  </w:style>
  <w:style w:styleId="Style_141_ch" w:type="character">
    <w:name w:val="WW8Num15z1"/>
    <w:link w:val="Style_141"/>
    <w:rPr>
      <w:rFonts w:ascii="Courier New" w:hAnsi="Courier New"/>
    </w:rPr>
  </w:style>
  <w:style w:styleId="Style_142" w:type="paragraph">
    <w:name w:val="ConsPlusNonformat"/>
    <w:link w:val="Style_142_ch"/>
    <w:pPr>
      <w:widowControl w:val="0"/>
      <w:ind/>
    </w:pPr>
    <w:rPr>
      <w:rFonts w:ascii="Courier New" w:hAnsi="Courier New"/>
      <w:color w:val="000000"/>
      <w:sz w:val="20"/>
    </w:rPr>
  </w:style>
  <w:style w:styleId="Style_142_ch" w:type="character">
    <w:name w:val="ConsPlusNonformat"/>
    <w:link w:val="Style_142"/>
    <w:rPr>
      <w:rFonts w:ascii="Courier New" w:hAnsi="Courier New"/>
      <w:color w:val="000000"/>
      <w:sz w:val="20"/>
    </w:rPr>
  </w:style>
  <w:style w:styleId="Style_143" w:type="paragraph">
    <w:name w:val="WW-Absatz-Standardschriftart11111111111111111"/>
    <w:link w:val="Style_143_ch"/>
  </w:style>
  <w:style w:styleId="Style_143_ch" w:type="character">
    <w:name w:val="WW-Absatz-Standardschriftart11111111111111111"/>
    <w:link w:val="Style_143"/>
  </w:style>
  <w:style w:styleId="Style_144" w:type="paragraph">
    <w:name w:val="FollowedHyperlink"/>
    <w:link w:val="Style_144_ch"/>
    <w:rPr>
      <w:color w:val="800080"/>
      <w:u w:val="single"/>
    </w:rPr>
  </w:style>
  <w:style w:styleId="Style_144_ch" w:type="character">
    <w:name w:val="FollowedHyperlink"/>
    <w:link w:val="Style_144"/>
    <w:rPr>
      <w:color w:val="800080"/>
      <w:u w:val="single"/>
    </w:rPr>
  </w:style>
  <w:style w:styleId="Style_145" w:type="paragraph">
    <w:name w:val="af7"/>
    <w:basedOn w:val="Style_5"/>
    <w:link w:val="Style_145_ch"/>
    <w:pPr>
      <w:spacing w:after="30" w:before="30"/>
      <w:ind/>
    </w:pPr>
    <w:rPr>
      <w:sz w:val="24"/>
    </w:rPr>
  </w:style>
  <w:style w:styleId="Style_145_ch" w:type="character">
    <w:name w:val="af7"/>
    <w:basedOn w:val="Style_5_ch"/>
    <w:link w:val="Style_145"/>
    <w:rPr>
      <w:sz w:val="24"/>
    </w:rPr>
  </w:style>
  <w:style w:styleId="Style_146" w:type="paragraph">
    <w:name w:val="WW-Absatz-Standardschriftart1111111111111"/>
    <w:link w:val="Style_146_ch"/>
  </w:style>
  <w:style w:styleId="Style_146_ch" w:type="character">
    <w:name w:val="WW-Absatz-Standardschriftart1111111111111"/>
    <w:link w:val="Style_146"/>
  </w:style>
  <w:style w:styleId="Style_147" w:type="paragraph">
    <w:name w:val="Название9"/>
    <w:basedOn w:val="Style_5"/>
    <w:link w:val="Style_147_ch"/>
    <w:pPr>
      <w:spacing w:after="120" w:before="120"/>
      <w:ind/>
    </w:pPr>
    <w:rPr>
      <w:i w:val="1"/>
      <w:sz w:val="24"/>
    </w:rPr>
  </w:style>
  <w:style w:styleId="Style_147_ch" w:type="character">
    <w:name w:val="Название9"/>
    <w:basedOn w:val="Style_5_ch"/>
    <w:link w:val="Style_147"/>
    <w:rPr>
      <w:i w:val="1"/>
      <w:sz w:val="24"/>
    </w:rPr>
  </w:style>
  <w:style w:styleId="Style_148" w:type="paragraph">
    <w:name w:val="constitle1"/>
    <w:basedOn w:val="Style_5"/>
    <w:link w:val="Style_148_ch"/>
    <w:pPr>
      <w:spacing w:after="280" w:before="280"/>
      <w:ind/>
    </w:pPr>
    <w:rPr>
      <w:sz w:val="24"/>
    </w:rPr>
  </w:style>
  <w:style w:styleId="Style_148_ch" w:type="character">
    <w:name w:val="constitle1"/>
    <w:basedOn w:val="Style_5_ch"/>
    <w:link w:val="Style_148"/>
    <w:rPr>
      <w:sz w:val="24"/>
    </w:rPr>
  </w:style>
  <w:style w:styleId="Style_149" w:type="paragraph">
    <w:name w:val="WW-Absatz-Standardschriftart11111111111111"/>
    <w:link w:val="Style_149_ch"/>
  </w:style>
  <w:style w:styleId="Style_149_ch" w:type="character">
    <w:name w:val="WW-Absatz-Standardschriftart11111111111111"/>
    <w:link w:val="Style_149"/>
  </w:style>
  <w:style w:styleId="Style_150" w:type="paragraph">
    <w:name w:val="WW-Absatz-Standardschriftart1111"/>
    <w:link w:val="Style_150_ch"/>
  </w:style>
  <w:style w:styleId="Style_150_ch" w:type="character">
    <w:name w:val="WW-Absatz-Standardschriftart1111"/>
    <w:link w:val="Style_150"/>
  </w:style>
  <w:style w:styleId="Style_151" w:type="paragraph">
    <w:name w:val="Название7"/>
    <w:basedOn w:val="Style_5"/>
    <w:link w:val="Style_151_ch"/>
    <w:pPr>
      <w:spacing w:after="120" w:before="120"/>
      <w:ind/>
    </w:pPr>
    <w:rPr>
      <w:i w:val="1"/>
      <w:sz w:val="24"/>
    </w:rPr>
  </w:style>
  <w:style w:styleId="Style_151_ch" w:type="character">
    <w:name w:val="Название7"/>
    <w:basedOn w:val="Style_5_ch"/>
    <w:link w:val="Style_151"/>
    <w:rPr>
      <w:i w:val="1"/>
      <w:sz w:val="24"/>
    </w:rPr>
  </w:style>
  <w:style w:styleId="Style_152" w:type="paragraph">
    <w:name w:val="WW-Absatz-Standardschriftart1111111111111111111111111111111111"/>
    <w:link w:val="Style_152_ch"/>
  </w:style>
  <w:style w:styleId="Style_152_ch" w:type="character">
    <w:name w:val="WW-Absatz-Standardschriftart1111111111111111111111111111111111"/>
    <w:link w:val="Style_152"/>
  </w:style>
  <w:style w:styleId="Style_153" w:type="paragraph">
    <w:name w:val="ajus"/>
    <w:basedOn w:val="Style_5"/>
    <w:link w:val="Style_153_ch"/>
    <w:pPr>
      <w:spacing w:after="280" w:before="280"/>
      <w:ind w:firstLine="400" w:left="0" w:right="0"/>
      <w:jc w:val="both"/>
    </w:pPr>
    <w:rPr>
      <w:sz w:val="24"/>
    </w:rPr>
  </w:style>
  <w:style w:styleId="Style_153_ch" w:type="character">
    <w:name w:val="ajus"/>
    <w:basedOn w:val="Style_5_ch"/>
    <w:link w:val="Style_153"/>
    <w:rPr>
      <w:sz w:val="24"/>
    </w:rPr>
  </w:style>
  <w:style w:styleId="Style_154" w:type="paragraph">
    <w:name w:val="heading 5"/>
    <w:next w:val="Style_5"/>
    <w:link w:val="Style_15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54_ch" w:type="character">
    <w:name w:val="heading 5"/>
    <w:link w:val="Style_154"/>
    <w:rPr>
      <w:rFonts w:ascii="XO Thames" w:hAnsi="XO Thames"/>
      <w:b w:val="1"/>
      <w:sz w:val="22"/>
    </w:rPr>
  </w:style>
  <w:style w:styleId="Style_155" w:type="paragraph">
    <w:name w:val="Основной шрифт абзаца10"/>
    <w:link w:val="Style_155_ch"/>
  </w:style>
  <w:style w:styleId="Style_155_ch" w:type="character">
    <w:name w:val="Основной шрифт абзаца10"/>
    <w:link w:val="Style_155"/>
  </w:style>
  <w:style w:styleId="Style_156" w:type="paragraph">
    <w:name w:val="Название объекта"/>
    <w:basedOn w:val="Style_5"/>
    <w:link w:val="Style_156_ch"/>
    <w:pPr>
      <w:ind/>
      <w:jc w:val="center"/>
    </w:pPr>
    <w:rPr>
      <w:b w:val="1"/>
      <w:sz w:val="32"/>
    </w:rPr>
  </w:style>
  <w:style w:styleId="Style_156_ch" w:type="character">
    <w:name w:val="Название объекта"/>
    <w:basedOn w:val="Style_5_ch"/>
    <w:link w:val="Style_156"/>
    <w:rPr>
      <w:b w:val="1"/>
      <w:sz w:val="32"/>
    </w:rPr>
  </w:style>
  <w:style w:styleId="Style_157" w:type="paragraph">
    <w:name w:val="WW-Absatz-Standardschriftart111111"/>
    <w:link w:val="Style_157_ch"/>
  </w:style>
  <w:style w:styleId="Style_157_ch" w:type="character">
    <w:name w:val="WW-Absatz-Standardschriftart111111"/>
    <w:link w:val="Style_157"/>
  </w:style>
  <w:style w:styleId="Style_158" w:type="paragraph">
    <w:name w:val="Style5"/>
    <w:basedOn w:val="Style_5"/>
    <w:link w:val="Style_158_ch"/>
    <w:pPr>
      <w:widowControl w:val="0"/>
      <w:spacing w:line="274" w:lineRule="exact"/>
      <w:ind/>
      <w:jc w:val="center"/>
    </w:pPr>
    <w:rPr>
      <w:sz w:val="24"/>
    </w:rPr>
  </w:style>
  <w:style w:styleId="Style_158_ch" w:type="character">
    <w:name w:val="Style5"/>
    <w:basedOn w:val="Style_5_ch"/>
    <w:link w:val="Style_158"/>
    <w:rPr>
      <w:sz w:val="24"/>
    </w:rPr>
  </w:style>
  <w:style w:styleId="Style_159" w:type="paragraph">
    <w:name w:val="WW-Absatz-Standardschriftart11111111111"/>
    <w:link w:val="Style_159_ch"/>
  </w:style>
  <w:style w:styleId="Style_159_ch" w:type="character">
    <w:name w:val="WW-Absatz-Standardschriftart11111111111"/>
    <w:link w:val="Style_159"/>
  </w:style>
  <w:style w:styleId="Style_160" w:type="paragraph">
    <w:name w:val="Указатель3"/>
    <w:basedOn w:val="Style_5"/>
    <w:link w:val="Style_160_ch"/>
    <w:rPr>
      <w:sz w:val="24"/>
    </w:rPr>
  </w:style>
  <w:style w:styleId="Style_160_ch" w:type="character">
    <w:name w:val="Указатель3"/>
    <w:basedOn w:val="Style_5_ch"/>
    <w:link w:val="Style_160"/>
    <w:rPr>
      <w:sz w:val="24"/>
    </w:rPr>
  </w:style>
  <w:style w:styleId="Style_161" w:type="paragraph">
    <w:name w:val="Знак1"/>
    <w:basedOn w:val="Style_5"/>
    <w:link w:val="Style_161_ch"/>
    <w:pPr>
      <w:spacing w:after="280" w:before="280"/>
      <w:ind/>
    </w:pPr>
    <w:rPr>
      <w:rFonts w:ascii="Tahoma" w:hAnsi="Tahoma"/>
    </w:rPr>
  </w:style>
  <w:style w:styleId="Style_161_ch" w:type="character">
    <w:name w:val="Знак1"/>
    <w:basedOn w:val="Style_5_ch"/>
    <w:link w:val="Style_161"/>
    <w:rPr>
      <w:rFonts w:ascii="Tahoma" w:hAnsi="Tahoma"/>
    </w:rPr>
  </w:style>
  <w:style w:styleId="Style_162" w:type="paragraph">
    <w:name w:val="Заголовок таблицы"/>
    <w:basedOn w:val="Style_163"/>
    <w:link w:val="Style_162_ch"/>
    <w:pPr>
      <w:ind/>
      <w:jc w:val="center"/>
    </w:pPr>
    <w:rPr>
      <w:b w:val="1"/>
    </w:rPr>
  </w:style>
  <w:style w:styleId="Style_162_ch" w:type="character">
    <w:name w:val="Заголовок таблицы"/>
    <w:basedOn w:val="Style_163_ch"/>
    <w:link w:val="Style_162"/>
    <w:rPr>
      <w:b w:val="1"/>
    </w:rPr>
  </w:style>
  <w:style w:styleId="Style_164" w:type="paragraph">
    <w:name w:val="heading 1"/>
    <w:basedOn w:val="Style_5"/>
    <w:next w:val="Style_5"/>
    <w:link w:val="Style_164_ch"/>
    <w:uiPriority w:val="9"/>
    <w:qFormat/>
    <w:pPr>
      <w:keepNext w:val="1"/>
      <w:ind/>
      <w:outlineLvl w:val="0"/>
    </w:pPr>
    <w:rPr>
      <w:sz w:val="28"/>
    </w:rPr>
  </w:style>
  <w:style w:styleId="Style_164_ch" w:type="character">
    <w:name w:val="heading 1"/>
    <w:basedOn w:val="Style_5_ch"/>
    <w:link w:val="Style_164"/>
    <w:rPr>
      <w:sz w:val="28"/>
    </w:rPr>
  </w:style>
  <w:style w:styleId="Style_165" w:type="paragraph">
    <w:name w:val="WW-Absatz-Standardschriftart11111111111111111111"/>
    <w:link w:val="Style_165_ch"/>
  </w:style>
  <w:style w:styleId="Style_165_ch" w:type="character">
    <w:name w:val="WW-Absatz-Standardschriftart11111111111111111111"/>
    <w:link w:val="Style_165"/>
  </w:style>
  <w:style w:styleId="Style_166" w:type="paragraph">
    <w:name w:val="Основной текст с отступом 31"/>
    <w:basedOn w:val="Style_5"/>
    <w:link w:val="Style_166_ch"/>
    <w:pPr>
      <w:widowControl w:val="0"/>
      <w:ind w:firstLine="0" w:left="-142" w:right="0"/>
      <w:jc w:val="both"/>
    </w:pPr>
    <w:rPr>
      <w:sz w:val="28"/>
    </w:rPr>
  </w:style>
  <w:style w:styleId="Style_166_ch" w:type="character">
    <w:name w:val="Основной текст с отступом 31"/>
    <w:basedOn w:val="Style_5_ch"/>
    <w:link w:val="Style_166"/>
    <w:rPr>
      <w:sz w:val="28"/>
    </w:rPr>
  </w:style>
  <w:style w:styleId="Style_167" w:type="paragraph">
    <w:name w:val="Style1"/>
    <w:basedOn w:val="Style_5"/>
    <w:link w:val="Style_167_ch"/>
    <w:pPr>
      <w:widowControl w:val="0"/>
      <w:ind/>
      <w:jc w:val="center"/>
    </w:pPr>
    <w:rPr>
      <w:sz w:val="24"/>
    </w:rPr>
  </w:style>
  <w:style w:styleId="Style_167_ch" w:type="character">
    <w:name w:val="Style1"/>
    <w:basedOn w:val="Style_5_ch"/>
    <w:link w:val="Style_167"/>
    <w:rPr>
      <w:sz w:val="24"/>
    </w:rPr>
  </w:style>
  <w:style w:styleId="Style_168" w:type="paragraph">
    <w:name w:val="Body Text 2"/>
    <w:basedOn w:val="Style_5"/>
    <w:link w:val="Style_168_ch"/>
    <w:pPr>
      <w:widowControl w:val="0"/>
      <w:ind w:firstLine="567" w:left="0" w:right="0"/>
      <w:jc w:val="both"/>
    </w:pPr>
    <w:rPr>
      <w:sz w:val="28"/>
    </w:rPr>
  </w:style>
  <w:style w:styleId="Style_168_ch" w:type="character">
    <w:name w:val="Body Text 2"/>
    <w:basedOn w:val="Style_5_ch"/>
    <w:link w:val="Style_168"/>
    <w:rPr>
      <w:sz w:val="28"/>
    </w:rPr>
  </w:style>
  <w:style w:styleId="Style_169" w:type="paragraph">
    <w:name w:val="WW-Absatz-Standardschriftart11111111111111111111111"/>
    <w:link w:val="Style_169_ch"/>
  </w:style>
  <w:style w:styleId="Style_169_ch" w:type="character">
    <w:name w:val="WW-Absatz-Standardschriftart11111111111111111111111"/>
    <w:link w:val="Style_169"/>
  </w:style>
  <w:style w:styleId="Style_170" w:type="paragraph">
    <w:name w:val="Заголовок 2 Знак"/>
    <w:link w:val="Style_170_ch"/>
    <w:rPr>
      <w:sz w:val="28"/>
    </w:rPr>
  </w:style>
  <w:style w:styleId="Style_170_ch" w:type="character">
    <w:name w:val="Заголовок 2 Знак"/>
    <w:link w:val="Style_170"/>
    <w:rPr>
      <w:sz w:val="28"/>
    </w:rPr>
  </w:style>
  <w:style w:styleId="Style_171" w:type="paragraph">
    <w:name w:val="WW8Num22z2"/>
    <w:link w:val="Style_171_ch"/>
    <w:rPr>
      <w:rFonts w:ascii="Wingdings" w:hAnsi="Wingdings"/>
    </w:rPr>
  </w:style>
  <w:style w:styleId="Style_171_ch" w:type="character">
    <w:name w:val="WW8Num22z2"/>
    <w:link w:val="Style_171"/>
    <w:rPr>
      <w:rFonts w:ascii="Wingdings" w:hAnsi="Wingdings"/>
    </w:rPr>
  </w:style>
  <w:style w:styleId="Style_172" w:type="paragraph">
    <w:name w:val="WW-Absatz-Standardschriftart111111111111111111111111111111111"/>
    <w:link w:val="Style_172_ch"/>
  </w:style>
  <w:style w:styleId="Style_172_ch" w:type="character">
    <w:name w:val="WW-Absatz-Standardschriftart111111111111111111111111111111111"/>
    <w:link w:val="Style_172"/>
  </w:style>
  <w:style w:styleId="Style_173" w:type="paragraph">
    <w:name w:val="Заголовок 9 Знак"/>
    <w:link w:val="Style_173_ch"/>
    <w:rPr>
      <w:sz w:val="28"/>
    </w:rPr>
  </w:style>
  <w:style w:styleId="Style_173_ch" w:type="character">
    <w:name w:val="Заголовок 9 Знак"/>
    <w:link w:val="Style_173"/>
    <w:rPr>
      <w:sz w:val="28"/>
    </w:rPr>
  </w:style>
  <w:style w:styleId="Style_174" w:type="paragraph">
    <w:name w:val="Hyperlink"/>
    <w:link w:val="Style_174_ch"/>
    <w:rPr>
      <w:color w:val="0000FF"/>
      <w:u w:val="single"/>
    </w:rPr>
  </w:style>
  <w:style w:styleId="Style_174_ch" w:type="character">
    <w:name w:val="Hyperlink"/>
    <w:link w:val="Style_174"/>
    <w:rPr>
      <w:color w:val="0000FF"/>
      <w:u w:val="single"/>
    </w:rPr>
  </w:style>
  <w:style w:styleId="Style_175" w:type="paragraph">
    <w:name w:val="Footnote"/>
    <w:basedOn w:val="Style_5"/>
    <w:link w:val="Style_175_ch"/>
    <w:pPr>
      <w:spacing w:after="200" w:before="0" w:line="276" w:lineRule="auto"/>
      <w:ind/>
    </w:pPr>
    <w:rPr>
      <w:rFonts w:ascii="Calibri" w:hAnsi="Calibri"/>
    </w:rPr>
  </w:style>
  <w:style w:styleId="Style_175_ch" w:type="character">
    <w:name w:val="Footnote"/>
    <w:basedOn w:val="Style_5_ch"/>
    <w:link w:val="Style_175"/>
    <w:rPr>
      <w:rFonts w:ascii="Calibri" w:hAnsi="Calibri"/>
    </w:rPr>
  </w:style>
  <w:style w:styleId="Style_176" w:type="paragraph">
    <w:name w:val="WW-Absatz-Standardschriftart111111111111"/>
    <w:link w:val="Style_176_ch"/>
  </w:style>
  <w:style w:styleId="Style_176_ch" w:type="character">
    <w:name w:val="WW-Absatz-Standardschriftart111111111111"/>
    <w:link w:val="Style_176"/>
  </w:style>
  <w:style w:styleId="Style_177" w:type="paragraph">
    <w:name w:val="WW-Absatz-Standardschriftart11"/>
    <w:link w:val="Style_177_ch"/>
  </w:style>
  <w:style w:styleId="Style_177_ch" w:type="character">
    <w:name w:val="WW-Absatz-Standardschriftart11"/>
    <w:link w:val="Style_177"/>
  </w:style>
  <w:style w:styleId="Style_178" w:type="paragraph">
    <w:name w:val="Название19"/>
    <w:basedOn w:val="Style_5"/>
    <w:link w:val="Style_178_ch"/>
    <w:pPr>
      <w:spacing w:after="120" w:before="120"/>
      <w:ind/>
    </w:pPr>
    <w:rPr>
      <w:i w:val="1"/>
      <w:sz w:val="24"/>
    </w:rPr>
  </w:style>
  <w:style w:styleId="Style_178_ch" w:type="character">
    <w:name w:val="Название19"/>
    <w:basedOn w:val="Style_5_ch"/>
    <w:link w:val="Style_178"/>
    <w:rPr>
      <w:i w:val="1"/>
      <w:sz w:val="24"/>
    </w:rPr>
  </w:style>
  <w:style w:styleId="Style_179" w:type="paragraph">
    <w:name w:val="WW-Absatz-Standardschriftart1"/>
    <w:link w:val="Style_179_ch"/>
  </w:style>
  <w:style w:styleId="Style_179_ch" w:type="character">
    <w:name w:val="WW-Absatz-Standardschriftart1"/>
    <w:link w:val="Style_179"/>
  </w:style>
  <w:style w:styleId="Style_180" w:type="paragraph">
    <w:name w:val="Указатель4"/>
    <w:basedOn w:val="Style_5"/>
    <w:link w:val="Style_180_ch"/>
    <w:rPr>
      <w:sz w:val="24"/>
    </w:rPr>
  </w:style>
  <w:style w:styleId="Style_180_ch" w:type="character">
    <w:name w:val="Указатель4"/>
    <w:basedOn w:val="Style_5_ch"/>
    <w:link w:val="Style_180"/>
    <w:rPr>
      <w:sz w:val="24"/>
    </w:rPr>
  </w:style>
  <w:style w:styleId="Style_181" w:type="paragraph">
    <w:name w:val="p6"/>
    <w:basedOn w:val="Style_5"/>
    <w:link w:val="Style_181_ch"/>
    <w:pPr>
      <w:spacing w:after="280" w:before="280"/>
      <w:ind/>
    </w:pPr>
    <w:rPr>
      <w:sz w:val="24"/>
    </w:rPr>
  </w:style>
  <w:style w:styleId="Style_181_ch" w:type="character">
    <w:name w:val="p6"/>
    <w:basedOn w:val="Style_5_ch"/>
    <w:link w:val="Style_181"/>
    <w:rPr>
      <w:sz w:val="24"/>
    </w:rPr>
  </w:style>
  <w:style w:styleId="Style_182" w:type="paragraph">
    <w:name w:val="Название13"/>
    <w:basedOn w:val="Style_5"/>
    <w:link w:val="Style_182_ch"/>
    <w:pPr>
      <w:spacing w:after="120" w:before="120"/>
      <w:ind/>
    </w:pPr>
    <w:rPr>
      <w:i w:val="1"/>
      <w:sz w:val="24"/>
    </w:rPr>
  </w:style>
  <w:style w:styleId="Style_182_ch" w:type="character">
    <w:name w:val="Название13"/>
    <w:basedOn w:val="Style_5_ch"/>
    <w:link w:val="Style_182"/>
    <w:rPr>
      <w:i w:val="1"/>
      <w:sz w:val="24"/>
    </w:rPr>
  </w:style>
  <w:style w:styleId="Style_183" w:type="paragraph">
    <w:name w:val="toc 1"/>
    <w:next w:val="Style_5"/>
    <w:link w:val="Style_18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83_ch" w:type="character">
    <w:name w:val="toc 1"/>
    <w:link w:val="Style_183"/>
    <w:rPr>
      <w:rFonts w:ascii="XO Thames" w:hAnsi="XO Thames"/>
      <w:b w:val="1"/>
      <w:sz w:val="28"/>
    </w:rPr>
  </w:style>
  <w:style w:styleId="Style_184" w:type="paragraph">
    <w:name w:val="WW-Absatz-Standardschriftart11111111111111111111111111111"/>
    <w:link w:val="Style_184_ch"/>
  </w:style>
  <w:style w:styleId="Style_184_ch" w:type="character">
    <w:name w:val="WW-Absatz-Standardschriftart11111111111111111111111111111"/>
    <w:link w:val="Style_184"/>
  </w:style>
  <w:style w:styleId="Style_185" w:type="paragraph">
    <w:name w:val="s13"/>
    <w:link w:val="Style_185_ch"/>
  </w:style>
  <w:style w:styleId="Style_185_ch" w:type="character">
    <w:name w:val="s13"/>
    <w:link w:val="Style_185"/>
  </w:style>
  <w:style w:styleId="Style_186" w:type="paragraph">
    <w:name w:val="Основной шрифт абзаца3"/>
    <w:link w:val="Style_186_ch"/>
  </w:style>
  <w:style w:styleId="Style_186_ch" w:type="character">
    <w:name w:val="Основной шрифт абзаца3"/>
    <w:link w:val="Style_186"/>
  </w:style>
  <w:style w:styleId="Style_187" w:type="paragraph">
    <w:name w:val="Header and Footer"/>
    <w:link w:val="Style_187_ch"/>
    <w:pPr>
      <w:spacing w:line="240" w:lineRule="auto"/>
      <w:ind/>
      <w:jc w:val="both"/>
    </w:pPr>
    <w:rPr>
      <w:rFonts w:ascii="XO Thames" w:hAnsi="XO Thames"/>
      <w:sz w:val="28"/>
    </w:rPr>
  </w:style>
  <w:style w:styleId="Style_187_ch" w:type="character">
    <w:name w:val="Header and Footer"/>
    <w:link w:val="Style_187"/>
    <w:rPr>
      <w:rFonts w:ascii="XO Thames" w:hAnsi="XO Thames"/>
      <w:sz w:val="28"/>
    </w:rPr>
  </w:style>
  <w:style w:styleId="Style_188" w:type="paragraph">
    <w:name w:val="Указатель5"/>
    <w:basedOn w:val="Style_5"/>
    <w:link w:val="Style_188_ch"/>
    <w:rPr>
      <w:sz w:val="24"/>
    </w:rPr>
  </w:style>
  <w:style w:styleId="Style_188_ch" w:type="character">
    <w:name w:val="Указатель5"/>
    <w:basedOn w:val="Style_5_ch"/>
    <w:link w:val="Style_188"/>
    <w:rPr>
      <w:sz w:val="24"/>
    </w:rPr>
  </w:style>
  <w:style w:styleId="Style_189" w:type="paragraph">
    <w:name w:val="Основной текст Знак"/>
    <w:link w:val="Style_189_ch"/>
    <w:rPr>
      <w:sz w:val="28"/>
    </w:rPr>
  </w:style>
  <w:style w:styleId="Style_189_ch" w:type="character">
    <w:name w:val="Основной текст Знак"/>
    <w:link w:val="Style_189"/>
    <w:rPr>
      <w:sz w:val="28"/>
    </w:rPr>
  </w:style>
  <w:style w:styleId="Style_190" w:type="paragraph">
    <w:name w:val="Body Text Indent"/>
    <w:basedOn w:val="Style_5"/>
    <w:link w:val="Style_190_ch"/>
    <w:pPr>
      <w:ind w:firstLine="540" w:left="0" w:right="0"/>
    </w:pPr>
    <w:rPr>
      <w:sz w:val="28"/>
    </w:rPr>
  </w:style>
  <w:style w:styleId="Style_190_ch" w:type="character">
    <w:name w:val="Body Text Indent"/>
    <w:basedOn w:val="Style_5_ch"/>
    <w:link w:val="Style_190"/>
    <w:rPr>
      <w:sz w:val="28"/>
    </w:rPr>
  </w:style>
  <w:style w:styleId="Style_191" w:type="paragraph">
    <w:name w:val="Указатель"/>
    <w:basedOn w:val="Style_5"/>
    <w:link w:val="Style_191_ch"/>
  </w:style>
  <w:style w:styleId="Style_191_ch" w:type="character">
    <w:name w:val="Указатель"/>
    <w:basedOn w:val="Style_5_ch"/>
    <w:link w:val="Style_191"/>
  </w:style>
  <w:style w:styleId="Style_192" w:type="paragraph">
    <w:name w:val=" Знак"/>
    <w:basedOn w:val="Style_5"/>
    <w:link w:val="Style_192_ch"/>
    <w:pPr>
      <w:spacing w:after="160" w:before="0" w:line="240" w:lineRule="exact"/>
      <w:ind/>
    </w:pPr>
    <w:rPr>
      <w:rFonts w:ascii="Verdana" w:hAnsi="Verdana"/>
    </w:rPr>
  </w:style>
  <w:style w:styleId="Style_192_ch" w:type="character">
    <w:name w:val=" Знак"/>
    <w:basedOn w:val="Style_5_ch"/>
    <w:link w:val="Style_192"/>
    <w:rPr>
      <w:rFonts w:ascii="Verdana" w:hAnsi="Verdana"/>
    </w:rPr>
  </w:style>
  <w:style w:styleId="Style_193" w:type="paragraph">
    <w:name w:val="Основной текст 2"/>
    <w:basedOn w:val="Style_5"/>
    <w:link w:val="Style_193_ch"/>
    <w:pPr>
      <w:spacing w:after="120" w:before="0" w:line="480" w:lineRule="auto"/>
      <w:ind/>
    </w:pPr>
  </w:style>
  <w:style w:styleId="Style_193_ch" w:type="character">
    <w:name w:val="Основной текст 2"/>
    <w:basedOn w:val="Style_5_ch"/>
    <w:link w:val="Style_193"/>
  </w:style>
  <w:style w:styleId="Style_194" w:type="paragraph">
    <w:name w:val="toc 9"/>
    <w:next w:val="Style_5"/>
    <w:link w:val="Style_19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94_ch" w:type="character">
    <w:name w:val="toc 9"/>
    <w:link w:val="Style_194"/>
    <w:rPr>
      <w:rFonts w:ascii="XO Thames" w:hAnsi="XO Thames"/>
      <w:sz w:val="28"/>
    </w:rPr>
  </w:style>
  <w:style w:styleId="Style_195" w:type="paragraph">
    <w:name w:val="WW-Absatz-Standardschriftart11111111"/>
    <w:link w:val="Style_195_ch"/>
  </w:style>
  <w:style w:styleId="Style_195_ch" w:type="character">
    <w:name w:val="WW-Absatz-Standardschriftart11111111"/>
    <w:link w:val="Style_195"/>
  </w:style>
  <w:style w:styleId="Style_196" w:type="paragraph">
    <w:name w:val="Название17"/>
    <w:basedOn w:val="Style_5"/>
    <w:link w:val="Style_196_ch"/>
    <w:pPr>
      <w:spacing w:after="120" w:before="120"/>
      <w:ind/>
    </w:pPr>
    <w:rPr>
      <w:i w:val="1"/>
      <w:sz w:val="24"/>
    </w:rPr>
  </w:style>
  <w:style w:styleId="Style_196_ch" w:type="character">
    <w:name w:val="Название17"/>
    <w:basedOn w:val="Style_5_ch"/>
    <w:link w:val="Style_196"/>
    <w:rPr>
      <w:i w:val="1"/>
      <w:sz w:val="24"/>
    </w:rPr>
  </w:style>
  <w:style w:styleId="Style_197" w:type="paragraph">
    <w:name w:val=" Знак Знак Знак1 Знак Знак Знак Знак"/>
    <w:basedOn w:val="Style_5"/>
    <w:link w:val="Style_197_ch"/>
    <w:pPr>
      <w:spacing w:after="160" w:before="0" w:line="240" w:lineRule="exact"/>
      <w:ind/>
    </w:pPr>
    <w:rPr>
      <w:sz w:val="28"/>
    </w:rPr>
  </w:style>
  <w:style w:styleId="Style_197_ch" w:type="character">
    <w:name w:val=" Знак Знак Знак1 Знак Знак Знак Знак"/>
    <w:basedOn w:val="Style_5_ch"/>
    <w:link w:val="Style_197"/>
    <w:rPr>
      <w:sz w:val="28"/>
    </w:rPr>
  </w:style>
  <w:style w:styleId="Style_198" w:type="paragraph">
    <w:name w:val="WW8Num15z0"/>
    <w:link w:val="Style_198_ch"/>
  </w:style>
  <w:style w:styleId="Style_198_ch" w:type="character">
    <w:name w:val="WW8Num15z0"/>
    <w:link w:val="Style_198"/>
  </w:style>
  <w:style w:styleId="Style_199" w:type="paragraph">
    <w:name w:val="Текст1"/>
    <w:basedOn w:val="Style_5"/>
    <w:link w:val="Style_199_ch"/>
    <w:rPr>
      <w:rFonts w:ascii="Courier New" w:hAnsi="Courier New"/>
    </w:rPr>
  </w:style>
  <w:style w:styleId="Style_199_ch" w:type="character">
    <w:name w:val="Текст1"/>
    <w:basedOn w:val="Style_5_ch"/>
    <w:link w:val="Style_199"/>
    <w:rPr>
      <w:rFonts w:ascii="Courier New" w:hAnsi="Courier New"/>
    </w:rPr>
  </w:style>
  <w:style w:styleId="Style_200" w:type="paragraph">
    <w:name w:val="WW8Num7z2"/>
    <w:link w:val="Style_200_ch"/>
    <w:rPr>
      <w:rFonts w:ascii="Wingdings" w:hAnsi="Wingdings"/>
    </w:rPr>
  </w:style>
  <w:style w:styleId="Style_200_ch" w:type="character">
    <w:name w:val="WW8Num7z2"/>
    <w:link w:val="Style_200"/>
    <w:rPr>
      <w:rFonts w:ascii="Wingdings" w:hAnsi="Wingdings"/>
    </w:rPr>
  </w:style>
  <w:style w:styleId="Style_201" w:type="paragraph">
    <w:name w:val="link"/>
    <w:link w:val="Style_201_ch"/>
    <w:rPr>
      <w:strike w:val="0"/>
      <w:color w:val="008000"/>
      <w:u w:val="none"/>
    </w:rPr>
  </w:style>
  <w:style w:styleId="Style_201_ch" w:type="character">
    <w:name w:val="link"/>
    <w:link w:val="Style_201"/>
    <w:rPr>
      <w:strike w:val="0"/>
      <w:color w:val="008000"/>
      <w:u w:val="none"/>
    </w:rPr>
  </w:style>
  <w:style w:styleId="Style_202" w:type="paragraph">
    <w:name w:val="WW-Absatz-Standardschriftart11111111111111111111111111111111111"/>
    <w:link w:val="Style_202_ch"/>
  </w:style>
  <w:style w:styleId="Style_202_ch" w:type="character">
    <w:name w:val="WW-Absatz-Standardschriftart11111111111111111111111111111111111"/>
    <w:link w:val="Style_202"/>
  </w:style>
  <w:style w:styleId="Style_2" w:type="paragraph">
    <w:name w:val="Верхний колонтитул слева"/>
    <w:basedOn w:val="Style_1"/>
    <w:link w:val="Style_2_ch"/>
    <w:pPr>
      <w:tabs>
        <w:tab w:leader="none" w:pos="9354" w:val="right"/>
        <w:tab w:leader="none" w:pos="9355" w:val="clear"/>
      </w:tabs>
      <w:ind/>
    </w:pPr>
  </w:style>
  <w:style w:styleId="Style_2_ch" w:type="character">
    <w:name w:val="Верхний колонтитул слева"/>
    <w:basedOn w:val="Style_1_ch"/>
    <w:link w:val="Style_2"/>
  </w:style>
  <w:style w:styleId="Style_203" w:type="paragraph">
    <w:name w:val="WW-Absatz-Standardschriftart111111111111111"/>
    <w:link w:val="Style_203_ch"/>
  </w:style>
  <w:style w:styleId="Style_203_ch" w:type="character">
    <w:name w:val="WW-Absatz-Standardschriftart111111111111111"/>
    <w:link w:val="Style_203"/>
  </w:style>
  <w:style w:styleId="Style_204" w:type="paragraph">
    <w:name w:val="WW-Absatz-Standardschriftart1111111111"/>
    <w:link w:val="Style_204_ch"/>
  </w:style>
  <w:style w:styleId="Style_204_ch" w:type="character">
    <w:name w:val="WW-Absatz-Standardschriftart1111111111"/>
    <w:link w:val="Style_204"/>
  </w:style>
  <w:style w:styleId="Style_205" w:type="paragraph">
    <w:name w:val="WW-Absatz-Standardschriftart111111111111111111111111111111111111111111111"/>
    <w:link w:val="Style_205_ch"/>
  </w:style>
  <w:style w:styleId="Style_205_ch" w:type="character">
    <w:name w:val="WW-Absatz-Standardschriftart111111111111111111111111111111111111111111111"/>
    <w:link w:val="Style_205"/>
  </w:style>
  <w:style w:styleId="Style_163" w:type="paragraph">
    <w:name w:val="Содержимое таблицы"/>
    <w:basedOn w:val="Style_5"/>
    <w:link w:val="Style_163_ch"/>
    <w:rPr>
      <w:sz w:val="24"/>
    </w:rPr>
  </w:style>
  <w:style w:styleId="Style_163_ch" w:type="character">
    <w:name w:val="Содержимое таблицы"/>
    <w:basedOn w:val="Style_5_ch"/>
    <w:link w:val="Style_163"/>
    <w:rPr>
      <w:sz w:val="24"/>
    </w:rPr>
  </w:style>
  <w:style w:styleId="Style_206" w:type="paragraph">
    <w:name w:val="toc 8"/>
    <w:next w:val="Style_5"/>
    <w:link w:val="Style_20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6_ch" w:type="character">
    <w:name w:val="toc 8"/>
    <w:link w:val="Style_206"/>
    <w:rPr>
      <w:rFonts w:ascii="XO Thames" w:hAnsi="XO Thames"/>
      <w:sz w:val="28"/>
    </w:rPr>
  </w:style>
  <w:style w:styleId="Style_207" w:type="paragraph">
    <w:name w:val="WW-Absatz-Standardschriftart111"/>
    <w:link w:val="Style_207_ch"/>
  </w:style>
  <w:style w:styleId="Style_207_ch" w:type="character">
    <w:name w:val="WW-Absatz-Standardschriftart111"/>
    <w:link w:val="Style_207"/>
  </w:style>
  <w:style w:styleId="Style_208" w:type="paragraph">
    <w:name w:val="Font Style49"/>
    <w:link w:val="Style_208_ch"/>
    <w:rPr>
      <w:rFonts w:ascii="Times New Roman" w:hAnsi="Times New Roman"/>
      <w:sz w:val="20"/>
    </w:rPr>
  </w:style>
  <w:style w:styleId="Style_208_ch" w:type="character">
    <w:name w:val="Font Style49"/>
    <w:link w:val="Style_208"/>
    <w:rPr>
      <w:rFonts w:ascii="Times New Roman" w:hAnsi="Times New Roman"/>
      <w:sz w:val="20"/>
    </w:rPr>
  </w:style>
  <w:style w:styleId="Style_209" w:type="paragraph">
    <w:name w:val="WW8Num7z0"/>
    <w:link w:val="Style_209_ch"/>
    <w:rPr>
      <w:rFonts w:ascii="Symbol" w:hAnsi="Symbol"/>
    </w:rPr>
  </w:style>
  <w:style w:styleId="Style_209_ch" w:type="character">
    <w:name w:val="WW8Num7z0"/>
    <w:link w:val="Style_209"/>
    <w:rPr>
      <w:rFonts w:ascii="Symbol" w:hAnsi="Symbol"/>
    </w:rPr>
  </w:style>
  <w:style w:styleId="Style_210" w:type="paragraph">
    <w:name w:val="Название12"/>
    <w:basedOn w:val="Style_5"/>
    <w:link w:val="Style_210_ch"/>
    <w:pPr>
      <w:spacing w:after="120" w:before="120"/>
      <w:ind/>
    </w:pPr>
    <w:rPr>
      <w:i w:val="1"/>
      <w:sz w:val="24"/>
    </w:rPr>
  </w:style>
  <w:style w:styleId="Style_210_ch" w:type="character">
    <w:name w:val="Название12"/>
    <w:basedOn w:val="Style_5_ch"/>
    <w:link w:val="Style_210"/>
    <w:rPr>
      <w:i w:val="1"/>
      <w:sz w:val="24"/>
    </w:rPr>
  </w:style>
  <w:style w:styleId="Style_81" w:type="paragraph">
    <w:name w:val="Основной шрифт абзаца"/>
    <w:link w:val="Style_81_ch"/>
  </w:style>
  <w:style w:styleId="Style_81_ch" w:type="character">
    <w:name w:val="Основной шрифт абзаца"/>
    <w:link w:val="Style_81"/>
  </w:style>
  <w:style w:styleId="Style_211" w:type="paragraph">
    <w:name w:val="Текст сноски Знак"/>
    <w:link w:val="Style_211_ch"/>
    <w:rPr>
      <w:rFonts w:ascii="Calibri" w:hAnsi="Calibri"/>
    </w:rPr>
  </w:style>
  <w:style w:styleId="Style_211_ch" w:type="character">
    <w:name w:val="Текст сноски Знак"/>
    <w:link w:val="Style_211"/>
    <w:rPr>
      <w:rFonts w:ascii="Calibri" w:hAnsi="Calibri"/>
    </w:rPr>
  </w:style>
  <w:style w:styleId="Style_212" w:type="paragraph">
    <w:name w:val="Основной шрифт абзаца18"/>
    <w:link w:val="Style_212_ch"/>
  </w:style>
  <w:style w:styleId="Style_212_ch" w:type="character">
    <w:name w:val="Основной шрифт абзаца18"/>
    <w:link w:val="Style_212"/>
  </w:style>
  <w:style w:styleId="Style_213" w:type="paragraph">
    <w:name w:val="Гипертекстовая ссылка"/>
    <w:link w:val="Style_213_ch"/>
    <w:rPr>
      <w:b w:val="1"/>
      <w:color w:val="008000"/>
    </w:rPr>
  </w:style>
  <w:style w:styleId="Style_213_ch" w:type="character">
    <w:name w:val="Гипертекстовая ссылка"/>
    <w:link w:val="Style_213"/>
    <w:rPr>
      <w:b w:val="1"/>
      <w:color w:val="008000"/>
    </w:rPr>
  </w:style>
  <w:style w:styleId="Style_214" w:type="paragraph">
    <w:name w:val="Название3"/>
    <w:basedOn w:val="Style_5"/>
    <w:link w:val="Style_214_ch"/>
    <w:pPr>
      <w:spacing w:after="120" w:before="120"/>
      <w:ind/>
    </w:pPr>
    <w:rPr>
      <w:i w:val="1"/>
      <w:sz w:val="24"/>
    </w:rPr>
  </w:style>
  <w:style w:styleId="Style_214_ch" w:type="character">
    <w:name w:val="Название3"/>
    <w:basedOn w:val="Style_5_ch"/>
    <w:link w:val="Style_214"/>
    <w:rPr>
      <w:i w:val="1"/>
      <w:sz w:val="24"/>
    </w:rPr>
  </w:style>
  <w:style w:styleId="Style_215" w:type="paragraph">
    <w:name w:val="Заголовок 1 Знак"/>
    <w:link w:val="Style_215_ch"/>
    <w:rPr>
      <w:sz w:val="28"/>
    </w:rPr>
  </w:style>
  <w:style w:styleId="Style_215_ch" w:type="character">
    <w:name w:val="Заголовок 1 Знак"/>
    <w:link w:val="Style_215"/>
    <w:rPr>
      <w:sz w:val="28"/>
    </w:rPr>
  </w:style>
  <w:style w:styleId="Style_216" w:type="paragraph">
    <w:name w:val="Текст выноски"/>
    <w:basedOn w:val="Style_5"/>
    <w:link w:val="Style_216_ch"/>
    <w:rPr>
      <w:rFonts w:ascii="Tahoma" w:hAnsi="Tahoma"/>
      <w:sz w:val="16"/>
    </w:rPr>
  </w:style>
  <w:style w:styleId="Style_216_ch" w:type="character">
    <w:name w:val="Текст выноски"/>
    <w:basedOn w:val="Style_5_ch"/>
    <w:link w:val="Style_216"/>
    <w:rPr>
      <w:rFonts w:ascii="Tahoma" w:hAnsi="Tahoma"/>
      <w:sz w:val="16"/>
    </w:rPr>
  </w:style>
  <w:style w:styleId="Style_217" w:type="paragraph">
    <w:name w:val="s8"/>
    <w:link w:val="Style_217_ch"/>
  </w:style>
  <w:style w:styleId="Style_217_ch" w:type="character">
    <w:name w:val="s8"/>
    <w:link w:val="Style_217"/>
  </w:style>
  <w:style w:styleId="Style_218" w:type="paragraph">
    <w:name w:val="Абзац списка"/>
    <w:basedOn w:val="Style_5"/>
    <w:link w:val="Style_218_ch"/>
    <w:pPr>
      <w:spacing w:after="120" w:before="0" w:line="360" w:lineRule="auto"/>
      <w:ind w:firstLine="709" w:left="720" w:right="0"/>
    </w:pPr>
    <w:rPr>
      <w:rFonts w:ascii="Calibri" w:hAnsi="Calibri"/>
      <w:sz w:val="22"/>
    </w:rPr>
  </w:style>
  <w:style w:styleId="Style_218_ch" w:type="character">
    <w:name w:val="Абзац списка"/>
    <w:basedOn w:val="Style_5_ch"/>
    <w:link w:val="Style_218"/>
    <w:rPr>
      <w:rFonts w:ascii="Calibri" w:hAnsi="Calibri"/>
      <w:sz w:val="22"/>
    </w:rPr>
  </w:style>
  <w:style w:styleId="Style_219" w:type="paragraph">
    <w:name w:val="Название5"/>
    <w:basedOn w:val="Style_5"/>
    <w:link w:val="Style_219_ch"/>
    <w:pPr>
      <w:spacing w:after="120" w:before="120"/>
      <w:ind/>
    </w:pPr>
    <w:rPr>
      <w:i w:val="1"/>
      <w:sz w:val="24"/>
    </w:rPr>
  </w:style>
  <w:style w:styleId="Style_219_ch" w:type="character">
    <w:name w:val="Название5"/>
    <w:basedOn w:val="Style_5_ch"/>
    <w:link w:val="Style_219"/>
    <w:rPr>
      <w:i w:val="1"/>
      <w:sz w:val="24"/>
    </w:rPr>
  </w:style>
  <w:style w:styleId="Style_220" w:type="paragraph">
    <w:name w:val="WW-Absatz-Standardschriftart11111"/>
    <w:link w:val="Style_220_ch"/>
  </w:style>
  <w:style w:styleId="Style_220_ch" w:type="character">
    <w:name w:val="WW-Absatz-Standardschriftart11111"/>
    <w:link w:val="Style_220"/>
  </w:style>
  <w:style w:styleId="Style_221" w:type="paragraph">
    <w:name w:val=" Знак1 Знак Знак Знак Знак Знак Знак Знак Знак1 Знак Знак Знак1 Знак"/>
    <w:basedOn w:val="Style_5"/>
    <w:link w:val="Style_221_ch"/>
    <w:pPr>
      <w:spacing w:after="160" w:before="0" w:line="240" w:lineRule="exact"/>
      <w:ind/>
    </w:pPr>
    <w:rPr>
      <w:rFonts w:ascii="Verdana" w:hAnsi="Verdana"/>
    </w:rPr>
  </w:style>
  <w:style w:styleId="Style_221_ch" w:type="character">
    <w:name w:val=" Знак1 Знак Знак Знак Знак Знак Знак Знак Знак1 Знак Знак Знак1 Знак"/>
    <w:basedOn w:val="Style_5_ch"/>
    <w:link w:val="Style_221"/>
    <w:rPr>
      <w:rFonts w:ascii="Verdana" w:hAnsi="Verdana"/>
    </w:rPr>
  </w:style>
  <w:style w:styleId="Style_222" w:type="paragraph">
    <w:name w:val="ConsPlusNormal"/>
    <w:link w:val="Style_222_ch"/>
    <w:pPr>
      <w:widowControl w:val="0"/>
      <w:ind w:firstLine="720" w:left="0" w:right="0"/>
    </w:pPr>
    <w:rPr>
      <w:rFonts w:ascii="Arial" w:hAnsi="Arial"/>
      <w:color w:val="000000"/>
      <w:sz w:val="20"/>
    </w:rPr>
  </w:style>
  <w:style w:styleId="Style_222_ch" w:type="character">
    <w:name w:val="ConsPlusNormal"/>
    <w:link w:val="Style_222"/>
    <w:rPr>
      <w:rFonts w:ascii="Arial" w:hAnsi="Arial"/>
      <w:color w:val="000000"/>
      <w:sz w:val="20"/>
    </w:rPr>
  </w:style>
  <w:style w:styleId="Style_223" w:type="paragraph">
    <w:name w:val="Знак Знак Знак Знак Знак Знак Знак Знак Знак Знак Знак Знак Знак Знак Знак Знак"/>
    <w:basedOn w:val="Style_5"/>
    <w:link w:val="Style_223_ch"/>
    <w:pPr>
      <w:spacing w:after="160" w:before="0" w:line="240" w:lineRule="exact"/>
      <w:ind/>
    </w:pPr>
    <w:rPr>
      <w:rFonts w:ascii="Verdana" w:hAnsi="Verdana"/>
    </w:rPr>
  </w:style>
  <w:style w:styleId="Style_223_ch" w:type="character">
    <w:name w:val="Знак Знак Знак Знак Знак Знак Знак Знак Знак Знак Знак Знак Знак Знак Знак Знак"/>
    <w:basedOn w:val="Style_5_ch"/>
    <w:link w:val="Style_223"/>
    <w:rPr>
      <w:rFonts w:ascii="Verdana" w:hAnsi="Verdana"/>
    </w:rPr>
  </w:style>
  <w:style w:styleId="Style_224" w:type="paragraph">
    <w:name w:val="WW-Absatz-Standardschriftart111111111111111111"/>
    <w:link w:val="Style_224_ch"/>
  </w:style>
  <w:style w:styleId="Style_224_ch" w:type="character">
    <w:name w:val="WW-Absatz-Standardschriftart111111111111111111"/>
    <w:link w:val="Style_224"/>
  </w:style>
  <w:style w:styleId="Style_225" w:type="paragraph">
    <w:name w:val="Нормальный (таблица)"/>
    <w:basedOn w:val="Style_5"/>
    <w:next w:val="Style_5"/>
    <w:link w:val="Style_225_ch"/>
    <w:pPr>
      <w:widowControl w:val="0"/>
      <w:ind/>
      <w:jc w:val="both"/>
    </w:pPr>
    <w:rPr>
      <w:rFonts w:ascii="Arial" w:hAnsi="Arial"/>
      <w:sz w:val="24"/>
    </w:rPr>
  </w:style>
  <w:style w:styleId="Style_225_ch" w:type="character">
    <w:name w:val="Нормальный (таблица)"/>
    <w:basedOn w:val="Style_5_ch"/>
    <w:link w:val="Style_225"/>
    <w:rPr>
      <w:rFonts w:ascii="Arial" w:hAnsi="Arial"/>
      <w:sz w:val="24"/>
    </w:rPr>
  </w:style>
  <w:style w:styleId="Style_226" w:type="paragraph">
    <w:name w:val="WW8Num21z1"/>
    <w:link w:val="Style_226_ch"/>
    <w:rPr>
      <w:rFonts w:ascii="Courier New" w:hAnsi="Courier New"/>
      <w:sz w:val="20"/>
    </w:rPr>
  </w:style>
  <w:style w:styleId="Style_226_ch" w:type="character">
    <w:name w:val="WW8Num21z1"/>
    <w:link w:val="Style_226"/>
    <w:rPr>
      <w:rFonts w:ascii="Courier New" w:hAnsi="Courier New"/>
      <w:sz w:val="20"/>
    </w:rPr>
  </w:style>
  <w:style w:styleId="Style_227" w:type="paragraph">
    <w:name w:val="Указатель10"/>
    <w:basedOn w:val="Style_5"/>
    <w:link w:val="Style_227_ch"/>
    <w:rPr>
      <w:sz w:val="24"/>
    </w:rPr>
  </w:style>
  <w:style w:styleId="Style_227_ch" w:type="character">
    <w:name w:val="Указатель10"/>
    <w:basedOn w:val="Style_5_ch"/>
    <w:link w:val="Style_227"/>
    <w:rPr>
      <w:sz w:val="24"/>
    </w:rPr>
  </w:style>
  <w:style w:styleId="Style_228" w:type="paragraph">
    <w:name w:val="toc 5"/>
    <w:next w:val="Style_5"/>
    <w:link w:val="Style_228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28_ch" w:type="character">
    <w:name w:val="toc 5"/>
    <w:link w:val="Style_228"/>
    <w:rPr>
      <w:rFonts w:ascii="XO Thames" w:hAnsi="XO Thames"/>
      <w:sz w:val="28"/>
    </w:rPr>
  </w:style>
  <w:style w:styleId="Style_229" w:type="paragraph">
    <w:name w:val="Красная строка Знак"/>
    <w:basedOn w:val="Style_189"/>
    <w:link w:val="Style_229_ch"/>
  </w:style>
  <w:style w:styleId="Style_229_ch" w:type="character">
    <w:name w:val="Красная строка Знак"/>
    <w:basedOn w:val="Style_189_ch"/>
    <w:link w:val="Style_229"/>
  </w:style>
  <w:style w:styleId="Style_230" w:type="paragraph">
    <w:name w:val="WW-Absatz-Standardschriftart111111111111111111111"/>
    <w:link w:val="Style_230_ch"/>
  </w:style>
  <w:style w:styleId="Style_230_ch" w:type="character">
    <w:name w:val="WW-Absatz-Standardschriftart111111111111111111111"/>
    <w:link w:val="Style_230"/>
  </w:style>
  <w:style w:styleId="Style_231" w:type="paragraph">
    <w:name w:val="WW-Absatz-Standardschriftart1111111111111111111111111"/>
    <w:link w:val="Style_231_ch"/>
  </w:style>
  <w:style w:styleId="Style_231_ch" w:type="character">
    <w:name w:val="WW-Absatz-Standardschriftart1111111111111111111111111"/>
    <w:link w:val="Style_231"/>
  </w:style>
  <w:style w:styleId="Style_232" w:type="paragraph">
    <w:name w:val="WW-Absatz-Standardschriftart11111111111111111111111111111111111111111"/>
    <w:link w:val="Style_232_ch"/>
  </w:style>
  <w:style w:styleId="Style_232_ch" w:type="character">
    <w:name w:val="WW-Absatz-Standardschriftart11111111111111111111111111111111111111111"/>
    <w:link w:val="Style_232"/>
  </w:style>
  <w:style w:styleId="Style_233" w:type="paragraph">
    <w:name w:val="WW-Absatz-Standardschriftart1111111111111111"/>
    <w:link w:val="Style_233_ch"/>
  </w:style>
  <w:style w:styleId="Style_233_ch" w:type="character">
    <w:name w:val="WW-Absatz-Standardschriftart1111111111111111"/>
    <w:link w:val="Style_233"/>
  </w:style>
  <w:style w:styleId="Style_234" w:type="paragraph">
    <w:name w:val="Основной текст с отступом Знак"/>
    <w:link w:val="Style_234_ch"/>
    <w:rPr>
      <w:sz w:val="28"/>
    </w:rPr>
  </w:style>
  <w:style w:styleId="Style_234_ch" w:type="character">
    <w:name w:val="Основной текст с отступом Знак"/>
    <w:link w:val="Style_234"/>
    <w:rPr>
      <w:sz w:val="28"/>
    </w:rPr>
  </w:style>
  <w:style w:styleId="Style_235" w:type="paragraph">
    <w:name w:val="Название10"/>
    <w:basedOn w:val="Style_5"/>
    <w:link w:val="Style_235_ch"/>
    <w:pPr>
      <w:spacing w:after="120" w:before="120"/>
      <w:ind/>
    </w:pPr>
    <w:rPr>
      <w:i w:val="1"/>
      <w:sz w:val="24"/>
    </w:rPr>
  </w:style>
  <w:style w:styleId="Style_235_ch" w:type="character">
    <w:name w:val="Название10"/>
    <w:basedOn w:val="Style_5_ch"/>
    <w:link w:val="Style_235"/>
    <w:rPr>
      <w:i w:val="1"/>
      <w:sz w:val="24"/>
    </w:rPr>
  </w:style>
  <w:style w:styleId="Style_236" w:type="paragraph">
    <w:name w:val="ConsTitle"/>
    <w:link w:val="Style_236_ch"/>
    <w:pPr>
      <w:widowControl w:val="0"/>
      <w:ind w:firstLine="0" w:left="0" w:right="19772"/>
    </w:pPr>
    <w:rPr>
      <w:rFonts w:ascii="Arial" w:hAnsi="Arial"/>
      <w:b w:val="1"/>
      <w:color w:val="000000"/>
      <w:sz w:val="16"/>
    </w:rPr>
  </w:style>
  <w:style w:styleId="Style_236_ch" w:type="character">
    <w:name w:val="ConsTitle"/>
    <w:link w:val="Style_236"/>
    <w:rPr>
      <w:rFonts w:ascii="Arial" w:hAnsi="Arial"/>
      <w:b w:val="1"/>
      <w:color w:val="000000"/>
      <w:sz w:val="16"/>
    </w:rPr>
  </w:style>
  <w:style w:styleId="Style_237" w:type="paragraph">
    <w:name w:val="apple-converted-space"/>
    <w:link w:val="Style_237_ch"/>
  </w:style>
  <w:style w:styleId="Style_237_ch" w:type="character">
    <w:name w:val="apple-converted-space"/>
    <w:link w:val="Style_237"/>
  </w:style>
  <w:style w:styleId="Style_238" w:type="paragraph">
    <w:name w:val="WW-Absatz-Standardschriftart111111111111111111111111111111111111111"/>
    <w:link w:val="Style_238_ch"/>
  </w:style>
  <w:style w:styleId="Style_238_ch" w:type="character">
    <w:name w:val="WW-Absatz-Standardschriftart111111111111111111111111111111111111111"/>
    <w:link w:val="Style_238"/>
  </w:style>
  <w:style w:styleId="Style_239" w:type="paragraph">
    <w:name w:val="WW8Num24z0"/>
    <w:link w:val="Style_239_ch"/>
  </w:style>
  <w:style w:styleId="Style_239_ch" w:type="character">
    <w:name w:val="WW8Num24z0"/>
    <w:link w:val="Style_239"/>
  </w:style>
  <w:style w:styleId="Style_240" w:type="paragraph">
    <w:name w:val="Style2"/>
    <w:basedOn w:val="Style_5"/>
    <w:link w:val="Style_240_ch"/>
    <w:pPr>
      <w:widowControl w:val="0"/>
      <w:spacing w:line="317" w:lineRule="exact"/>
      <w:ind/>
      <w:jc w:val="both"/>
    </w:pPr>
    <w:rPr>
      <w:sz w:val="24"/>
    </w:rPr>
  </w:style>
  <w:style w:styleId="Style_240_ch" w:type="character">
    <w:name w:val="Style2"/>
    <w:basedOn w:val="Style_5_ch"/>
    <w:link w:val="Style_240"/>
    <w:rPr>
      <w:sz w:val="24"/>
    </w:rPr>
  </w:style>
  <w:style w:styleId="Style_241" w:type="paragraph">
    <w:name w:val="Без интервала Знак"/>
    <w:link w:val="Style_241_ch"/>
    <w:rPr>
      <w:color w:val="000000"/>
      <w:sz w:val="28"/>
    </w:rPr>
  </w:style>
  <w:style w:styleId="Style_241_ch" w:type="character">
    <w:name w:val="Без интервала Знак"/>
    <w:link w:val="Style_241"/>
    <w:rPr>
      <w:color w:val="000000"/>
      <w:sz w:val="28"/>
    </w:rPr>
  </w:style>
  <w:style w:styleId="Style_242" w:type="paragraph">
    <w:name w:val="s12"/>
    <w:link w:val="Style_242_ch"/>
  </w:style>
  <w:style w:styleId="Style_242_ch" w:type="character">
    <w:name w:val="s12"/>
    <w:link w:val="Style_242"/>
  </w:style>
  <w:style w:styleId="Style_243" w:type="paragraph">
    <w:name w:val="Основной шрифт абзаца5"/>
    <w:link w:val="Style_243_ch"/>
  </w:style>
  <w:style w:styleId="Style_243_ch" w:type="character">
    <w:name w:val="Основной шрифт абзаца5"/>
    <w:link w:val="Style_243"/>
  </w:style>
  <w:style w:styleId="Style_244" w:type="paragraph">
    <w:name w:val="Основной шрифт абзаца2"/>
    <w:link w:val="Style_244_ch"/>
  </w:style>
  <w:style w:styleId="Style_244_ch" w:type="character">
    <w:name w:val="Основной шрифт абзаца2"/>
    <w:link w:val="Style_244"/>
  </w:style>
  <w:style w:styleId="Style_245" w:type="paragraph">
    <w:name w:val="consplusnonformat1"/>
    <w:basedOn w:val="Style_5"/>
    <w:link w:val="Style_245_ch"/>
    <w:pPr>
      <w:spacing w:after="30" w:before="30"/>
      <w:ind/>
    </w:pPr>
    <w:rPr>
      <w:sz w:val="24"/>
    </w:rPr>
  </w:style>
  <w:style w:styleId="Style_245_ch" w:type="character">
    <w:name w:val="consplusnonformat1"/>
    <w:basedOn w:val="Style_5_ch"/>
    <w:link w:val="Style_245"/>
    <w:rPr>
      <w:sz w:val="24"/>
    </w:rPr>
  </w:style>
  <w:style w:styleId="Style_246" w:type="paragraph">
    <w:name w:val=" Знак Знак3"/>
    <w:link w:val="Style_246_ch"/>
    <w:rPr>
      <w:rFonts w:ascii="Calibri" w:hAnsi="Calibri"/>
    </w:rPr>
  </w:style>
  <w:style w:styleId="Style_246_ch" w:type="character">
    <w:name w:val=" Знак Знак3"/>
    <w:link w:val="Style_246"/>
    <w:rPr>
      <w:rFonts w:ascii="Calibri" w:hAnsi="Calibri"/>
    </w:rPr>
  </w:style>
  <w:style w:styleId="Style_247" w:type="paragraph">
    <w:name w:val="WW8Num5z0"/>
    <w:link w:val="Style_247_ch"/>
    <w:rPr>
      <w:rFonts w:ascii="Symbol" w:hAnsi="Symbol"/>
    </w:rPr>
  </w:style>
  <w:style w:styleId="Style_247_ch" w:type="character">
    <w:name w:val="WW8Num5z0"/>
    <w:link w:val="Style_247"/>
    <w:rPr>
      <w:rFonts w:ascii="Symbol" w:hAnsi="Symbol"/>
    </w:rPr>
  </w:style>
  <w:style w:styleId="Style_248" w:type="paragraph">
    <w:name w:val="Знак1 Знак Знак Знак Знак Знак Знак Знак Знак1 Знак Знак Знак1 Знак"/>
    <w:basedOn w:val="Style_5"/>
    <w:link w:val="Style_248_ch"/>
    <w:pPr>
      <w:spacing w:after="160" w:before="0" w:line="240" w:lineRule="exact"/>
      <w:ind/>
    </w:pPr>
    <w:rPr>
      <w:rFonts w:ascii="Verdana" w:hAnsi="Verdana"/>
    </w:rPr>
  </w:style>
  <w:style w:styleId="Style_248_ch" w:type="character">
    <w:name w:val="Знак1 Знак Знак Знак Знак Знак Знак Знак Знак1 Знак Знак Знак1 Знак"/>
    <w:basedOn w:val="Style_5_ch"/>
    <w:link w:val="Style_248"/>
    <w:rPr>
      <w:rFonts w:ascii="Verdana" w:hAnsi="Verdana"/>
    </w:rPr>
  </w:style>
  <w:style w:styleId="Style_249" w:type="paragraph">
    <w:name w:val="Основной шрифт абзаца16"/>
    <w:link w:val="Style_249_ch"/>
  </w:style>
  <w:style w:styleId="Style_249_ch" w:type="character">
    <w:name w:val="Основной шрифт абзаца16"/>
    <w:link w:val="Style_249"/>
  </w:style>
  <w:style w:styleId="Style_250" w:type="paragraph">
    <w:name w:val="Текст примечания Знак"/>
    <w:link w:val="Style_250_ch"/>
  </w:style>
  <w:style w:styleId="Style_250_ch" w:type="character">
    <w:name w:val="Текст примечания Знак"/>
    <w:link w:val="Style_250"/>
  </w:style>
  <w:style w:styleId="Style_251" w:type="paragraph">
    <w:name w:val="Стандартный HTML"/>
    <w:basedOn w:val="Style_5"/>
    <w:link w:val="Style_251_ch"/>
    <w:pPr>
      <w:tabs>
        <w:tab w:leader="none" w:pos="916" w:val="left"/>
        <w:tab w:leader="none" w:pos="1832" w:val="left"/>
        <w:tab w:leader="none" w:pos="2748" w:val="left"/>
        <w:tab w:leader="none" w:pos="3664" w:val="left"/>
        <w:tab w:leader="none" w:pos="4580" w:val="left"/>
        <w:tab w:leader="none" w:pos="5496" w:val="left"/>
        <w:tab w:leader="none" w:pos="6412" w:val="left"/>
        <w:tab w:leader="none" w:pos="7328" w:val="left"/>
        <w:tab w:leader="none" w:pos="8244" w:val="left"/>
        <w:tab w:leader="none" w:pos="9160" w:val="left"/>
        <w:tab w:leader="none" w:pos="10076" w:val="left"/>
        <w:tab w:leader="none" w:pos="10992" w:val="left"/>
        <w:tab w:leader="none" w:pos="11908" w:val="left"/>
        <w:tab w:leader="none" w:pos="12824" w:val="left"/>
        <w:tab w:leader="none" w:pos="13740" w:val="left"/>
        <w:tab w:leader="none" w:pos="14656" w:val="left"/>
      </w:tabs>
      <w:ind/>
    </w:pPr>
    <w:rPr>
      <w:rFonts w:ascii="Courier New" w:hAnsi="Courier New"/>
    </w:rPr>
  </w:style>
  <w:style w:styleId="Style_251_ch" w:type="character">
    <w:name w:val="Стандартный HTML"/>
    <w:basedOn w:val="Style_5_ch"/>
    <w:link w:val="Style_251"/>
    <w:rPr>
      <w:rFonts w:ascii="Courier New" w:hAnsi="Courier New"/>
    </w:rPr>
  </w:style>
  <w:style w:styleId="Style_252" w:type="paragraph">
    <w:name w:val="Указатель16"/>
    <w:basedOn w:val="Style_5"/>
    <w:link w:val="Style_252_ch"/>
    <w:rPr>
      <w:sz w:val="24"/>
    </w:rPr>
  </w:style>
  <w:style w:styleId="Style_252_ch" w:type="character">
    <w:name w:val="Указатель16"/>
    <w:basedOn w:val="Style_5_ch"/>
    <w:link w:val="Style_252"/>
    <w:rPr>
      <w:sz w:val="24"/>
    </w:rPr>
  </w:style>
  <w:style w:styleId="Style_253" w:type="paragraph">
    <w:name w:val="WW-Absatz-Standardschriftart111111111111111111111111111111111111111111"/>
    <w:link w:val="Style_253_ch"/>
  </w:style>
  <w:style w:styleId="Style_253_ch" w:type="character">
    <w:name w:val="WW-Absatz-Standardschriftart111111111111111111111111111111111111111111"/>
    <w:link w:val="Style_253"/>
  </w:style>
  <w:style w:styleId="Style_254" w:type="paragraph">
    <w:name w:val="Subtitle"/>
    <w:next w:val="Style_5"/>
    <w:link w:val="Style_254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54_ch" w:type="character">
    <w:name w:val="Subtitle"/>
    <w:link w:val="Style_254"/>
    <w:rPr>
      <w:rFonts w:ascii="XO Thames" w:hAnsi="XO Thames"/>
      <w:i w:val="1"/>
      <w:sz w:val="24"/>
    </w:rPr>
  </w:style>
  <w:style w:styleId="Style_255" w:type="paragraph">
    <w:name w:val="Основной текст9"/>
    <w:basedOn w:val="Style_5"/>
    <w:link w:val="Style_255_ch"/>
    <w:pPr>
      <w:spacing w:after="240" w:before="0" w:line="0" w:lineRule="atLeast"/>
      <w:ind/>
    </w:pPr>
    <w:rPr>
      <w:sz w:val="24"/>
    </w:rPr>
  </w:style>
  <w:style w:styleId="Style_255_ch" w:type="character">
    <w:name w:val="Основной текст9"/>
    <w:basedOn w:val="Style_5_ch"/>
    <w:link w:val="Style_255"/>
    <w:rPr>
      <w:sz w:val="24"/>
    </w:rPr>
  </w:style>
  <w:style w:styleId="Style_256" w:type="paragraph">
    <w:name w:val="Указатель6"/>
    <w:basedOn w:val="Style_5"/>
    <w:link w:val="Style_256_ch"/>
    <w:rPr>
      <w:sz w:val="24"/>
    </w:rPr>
  </w:style>
  <w:style w:styleId="Style_256_ch" w:type="character">
    <w:name w:val="Указатель6"/>
    <w:basedOn w:val="Style_5_ch"/>
    <w:link w:val="Style_256"/>
    <w:rPr>
      <w:sz w:val="24"/>
    </w:rPr>
  </w:style>
  <w:style w:styleId="Style_257" w:type="paragraph">
    <w:name w:val="rvps690070"/>
    <w:basedOn w:val="Style_5"/>
    <w:link w:val="Style_257_ch"/>
    <w:pPr>
      <w:spacing w:after="280" w:before="280"/>
      <w:ind/>
    </w:pPr>
    <w:rPr>
      <w:rFonts w:ascii="Arial" w:hAnsi="Arial"/>
      <w:color w:val="000000"/>
      <w:sz w:val="18"/>
    </w:rPr>
  </w:style>
  <w:style w:styleId="Style_257_ch" w:type="character">
    <w:name w:val="rvps690070"/>
    <w:basedOn w:val="Style_5_ch"/>
    <w:link w:val="Style_257"/>
    <w:rPr>
      <w:rFonts w:ascii="Arial" w:hAnsi="Arial"/>
      <w:color w:val="000000"/>
      <w:sz w:val="18"/>
    </w:rPr>
  </w:style>
  <w:style w:styleId="Style_258" w:type="paragraph">
    <w:name w:val="Красная строка"/>
    <w:basedOn w:val="Style_23"/>
    <w:link w:val="Style_258_ch"/>
    <w:pPr>
      <w:spacing w:after="120" w:before="0"/>
      <w:ind w:firstLine="210" w:left="0" w:right="0"/>
      <w:jc w:val="left"/>
    </w:pPr>
    <w:rPr>
      <w:sz w:val="20"/>
    </w:rPr>
  </w:style>
  <w:style w:styleId="Style_258_ch" w:type="character">
    <w:name w:val="Красная строка"/>
    <w:basedOn w:val="Style_23_ch"/>
    <w:link w:val="Style_258"/>
    <w:rPr>
      <w:sz w:val="20"/>
    </w:rPr>
  </w:style>
  <w:style w:styleId="Style_259" w:type="paragraph">
    <w:name w:val="Основной текст с отступом 2 Знак"/>
    <w:link w:val="Style_259_ch"/>
  </w:style>
  <w:style w:styleId="Style_259_ch" w:type="character">
    <w:name w:val="Основной текст с отступом 2 Знак"/>
    <w:link w:val="Style_259"/>
  </w:style>
  <w:style w:styleId="Style_260" w:type="paragraph">
    <w:name w:val="Основной шрифт абзаца19"/>
    <w:link w:val="Style_260_ch"/>
  </w:style>
  <w:style w:styleId="Style_260_ch" w:type="character">
    <w:name w:val="Основной шрифт абзаца19"/>
    <w:link w:val="Style_260"/>
  </w:style>
  <w:style w:styleId="Style_261" w:type="paragraph">
    <w:name w:val="Title"/>
    <w:next w:val="Style_5"/>
    <w:link w:val="Style_26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61_ch" w:type="character">
    <w:name w:val="Title"/>
    <w:link w:val="Style_261"/>
    <w:rPr>
      <w:rFonts w:ascii="XO Thames" w:hAnsi="XO Thames"/>
      <w:b w:val="1"/>
      <w:caps w:val="1"/>
      <w:sz w:val="40"/>
    </w:rPr>
  </w:style>
  <w:style w:styleId="Style_262" w:type="paragraph">
    <w:name w:val="hl41"/>
    <w:link w:val="Style_262_ch"/>
    <w:rPr>
      <w:b w:val="1"/>
      <w:sz w:val="20"/>
    </w:rPr>
  </w:style>
  <w:style w:styleId="Style_262_ch" w:type="character">
    <w:name w:val="hl41"/>
    <w:link w:val="Style_262"/>
    <w:rPr>
      <w:b w:val="1"/>
      <w:sz w:val="20"/>
    </w:rPr>
  </w:style>
  <w:style w:styleId="Style_263" w:type="paragraph">
    <w:name w:val="heading 4"/>
    <w:basedOn w:val="Style_5"/>
    <w:next w:val="Style_5"/>
    <w:link w:val="Style_263_ch"/>
    <w:uiPriority w:val="9"/>
    <w:qFormat/>
    <w:pPr>
      <w:keepNext w:val="1"/>
      <w:tabs>
        <w:tab w:leader="none" w:pos="900" w:val="left"/>
      </w:tabs>
      <w:ind w:hanging="252" w:left="252" w:right="0"/>
      <w:jc w:val="center"/>
      <w:outlineLvl w:val="3"/>
    </w:pPr>
    <w:rPr>
      <w:sz w:val="28"/>
    </w:rPr>
  </w:style>
  <w:style w:styleId="Style_263_ch" w:type="character">
    <w:name w:val="heading 4"/>
    <w:basedOn w:val="Style_5_ch"/>
    <w:link w:val="Style_263"/>
    <w:rPr>
      <w:sz w:val="28"/>
    </w:rPr>
  </w:style>
  <w:style w:styleId="Style_264" w:type="paragraph">
    <w:name w:val="WW8Num22z1"/>
    <w:link w:val="Style_264_ch"/>
    <w:rPr>
      <w:rFonts w:ascii="Courier New" w:hAnsi="Courier New"/>
    </w:rPr>
  </w:style>
  <w:style w:styleId="Style_264_ch" w:type="character">
    <w:name w:val="WW8Num22z1"/>
    <w:link w:val="Style_264"/>
    <w:rPr>
      <w:rFonts w:ascii="Courier New" w:hAnsi="Courier New"/>
    </w:rPr>
  </w:style>
  <w:style w:styleId="Style_265" w:type="paragraph">
    <w:name w:val="Прижатый влево"/>
    <w:basedOn w:val="Style_5"/>
    <w:next w:val="Style_5"/>
    <w:link w:val="Style_265_ch"/>
    <w:pPr>
      <w:widowControl w:val="0"/>
      <w:ind/>
    </w:pPr>
    <w:rPr>
      <w:rFonts w:ascii="Arial" w:hAnsi="Arial"/>
      <w:sz w:val="24"/>
    </w:rPr>
  </w:style>
  <w:style w:styleId="Style_265_ch" w:type="character">
    <w:name w:val="Прижатый влево"/>
    <w:basedOn w:val="Style_5_ch"/>
    <w:link w:val="Style_265"/>
    <w:rPr>
      <w:rFonts w:ascii="Arial" w:hAnsi="Arial"/>
      <w:sz w:val="24"/>
    </w:rPr>
  </w:style>
  <w:style w:styleId="Style_266" w:type="paragraph">
    <w:name w:val="WW8Num12z0"/>
    <w:link w:val="Style_266_ch"/>
    <w:rPr>
      <w:b w:val="1"/>
    </w:rPr>
  </w:style>
  <w:style w:styleId="Style_266_ch" w:type="character">
    <w:name w:val="WW8Num12z0"/>
    <w:link w:val="Style_266"/>
    <w:rPr>
      <w:b w:val="1"/>
    </w:rPr>
  </w:style>
  <w:style w:styleId="Style_267" w:type="paragraph">
    <w:name w:val="Основной шрифт абзаца17"/>
    <w:link w:val="Style_267_ch"/>
  </w:style>
  <w:style w:styleId="Style_267_ch" w:type="character">
    <w:name w:val="Основной шрифт абзаца17"/>
    <w:link w:val="Style_267"/>
  </w:style>
  <w:style w:styleId="Style_268" w:type="paragraph">
    <w:name w:val="ConsPlusNormal Знак"/>
    <w:link w:val="Style_268_ch"/>
    <w:rPr>
      <w:rFonts w:ascii="Arial" w:hAnsi="Arial"/>
    </w:rPr>
  </w:style>
  <w:style w:styleId="Style_268_ch" w:type="character">
    <w:name w:val="ConsPlusNormal Знак"/>
    <w:link w:val="Style_268"/>
    <w:rPr>
      <w:rFonts w:ascii="Arial" w:hAnsi="Arial"/>
    </w:rPr>
  </w:style>
  <w:style w:styleId="Style_269" w:type="paragraph">
    <w:name w:val="heading 2"/>
    <w:basedOn w:val="Style_5"/>
    <w:next w:val="Style_5"/>
    <w:link w:val="Style_269_ch"/>
    <w:uiPriority w:val="9"/>
    <w:qFormat/>
    <w:pPr>
      <w:keepNext w:val="1"/>
      <w:tabs>
        <w:tab w:leader="none" w:pos="900" w:val="left"/>
      </w:tabs>
      <w:ind/>
      <w:jc w:val="right"/>
      <w:outlineLvl w:val="1"/>
    </w:pPr>
    <w:rPr>
      <w:sz w:val="28"/>
    </w:rPr>
  </w:style>
  <w:style w:styleId="Style_269_ch" w:type="character">
    <w:name w:val="heading 2"/>
    <w:basedOn w:val="Style_5_ch"/>
    <w:link w:val="Style_269"/>
    <w:rPr>
      <w:sz w:val="28"/>
    </w:rPr>
  </w:style>
  <w:style w:styleId="Style_270" w:type="paragraph">
    <w:name w:val="WW-Absatz-Standardschriftart1111111"/>
    <w:link w:val="Style_270_ch"/>
  </w:style>
  <w:style w:styleId="Style_270_ch" w:type="character">
    <w:name w:val="WW-Absatz-Standardschriftart1111111"/>
    <w:link w:val="Style_270"/>
  </w:style>
  <w:style w:styleId="Style_271" w:type="paragraph">
    <w:name w:val=" Знак Знак5"/>
    <w:link w:val="Style_271_ch"/>
    <w:rPr>
      <w:rFonts w:ascii="Calibri" w:hAnsi="Calibri"/>
      <w:sz w:val="22"/>
    </w:rPr>
  </w:style>
  <w:style w:styleId="Style_271_ch" w:type="character">
    <w:name w:val=" Знак Знак5"/>
    <w:link w:val="Style_271"/>
    <w:rPr>
      <w:rFonts w:ascii="Calibri" w:hAnsi="Calibri"/>
      <w:sz w:val="22"/>
    </w:rPr>
  </w:style>
  <w:style w:styleId="Style_272" w:type="paragraph">
    <w:name w:val="Название16"/>
    <w:basedOn w:val="Style_5"/>
    <w:link w:val="Style_272_ch"/>
    <w:pPr>
      <w:spacing w:after="120" w:before="120"/>
      <w:ind/>
    </w:pPr>
    <w:rPr>
      <w:i w:val="1"/>
      <w:sz w:val="24"/>
    </w:rPr>
  </w:style>
  <w:style w:styleId="Style_272_ch" w:type="character">
    <w:name w:val="Название16"/>
    <w:basedOn w:val="Style_5_ch"/>
    <w:link w:val="Style_272"/>
    <w:rPr>
      <w:i w:val="1"/>
      <w:sz w:val="24"/>
    </w:rPr>
  </w:style>
  <w:style w:styleId="Style_273" w:type="paragraph">
    <w:name w:val="WW8Num3z0"/>
    <w:link w:val="Style_273_ch"/>
    <w:rPr>
      <w:rFonts w:ascii="Symbol" w:hAnsi="Symbol"/>
    </w:rPr>
  </w:style>
  <w:style w:styleId="Style_273_ch" w:type="character">
    <w:name w:val="WW8Num3z0"/>
    <w:link w:val="Style_273"/>
    <w:rPr>
      <w:rFonts w:ascii="Symbol" w:hAnsi="Symbol"/>
    </w:rPr>
  </w:style>
  <w:style w:styleId="Style_274" w:type="paragraph">
    <w:name w:val=" Знак Знак1"/>
    <w:link w:val="Style_274_ch"/>
    <w:rPr>
      <w:sz w:val="28"/>
    </w:rPr>
  </w:style>
  <w:style w:styleId="Style_274_ch" w:type="character">
    <w:name w:val=" Знак Знак1"/>
    <w:link w:val="Style_274"/>
    <w:rPr>
      <w:sz w:val="28"/>
    </w:rPr>
  </w:style>
  <w:style w:styleId="Style_275" w:type="paragraph">
    <w:name w:val="Основной текст 31"/>
    <w:basedOn w:val="Style_5"/>
    <w:link w:val="Style_275_ch"/>
    <w:pPr>
      <w:spacing w:after="120" w:before="0"/>
      <w:ind/>
    </w:pPr>
    <w:rPr>
      <w:sz w:val="16"/>
    </w:rPr>
  </w:style>
  <w:style w:styleId="Style_275_ch" w:type="character">
    <w:name w:val="Основной текст 31"/>
    <w:basedOn w:val="Style_5_ch"/>
    <w:link w:val="Style_275"/>
    <w:rPr>
      <w:sz w:val="16"/>
    </w:rPr>
  </w:style>
  <w:style w:styleId="Style_276" w:type="paragraph">
    <w:name w:val="WW-Absatz-Standardschriftart111111111111111111111111111111"/>
    <w:link w:val="Style_276_ch"/>
  </w:style>
  <w:style w:styleId="Style_276_ch" w:type="character">
    <w:name w:val="WW-Absatz-Standardschriftart111111111111111111111111111111"/>
    <w:link w:val="Style_276"/>
  </w:style>
  <w:style w:styleId="Style_277" w:type="paragraph">
    <w:name w:val="Основной текст с отступом 2"/>
    <w:basedOn w:val="Style_5"/>
    <w:link w:val="Style_277_ch"/>
    <w:pPr>
      <w:spacing w:after="120" w:before="0" w:line="480" w:lineRule="auto"/>
      <w:ind w:firstLine="0" w:left="283" w:right="0"/>
    </w:pPr>
  </w:style>
  <w:style w:styleId="Style_277_ch" w:type="character">
    <w:name w:val="Основной текст с отступом 2"/>
    <w:basedOn w:val="Style_5_ch"/>
    <w:link w:val="Style_277"/>
  </w:style>
  <w:style w:styleId="Style_278" w:type="paragraph">
    <w:name w:val="Указатель7"/>
    <w:basedOn w:val="Style_5"/>
    <w:link w:val="Style_278_ch"/>
    <w:rPr>
      <w:sz w:val="24"/>
    </w:rPr>
  </w:style>
  <w:style w:styleId="Style_278_ch" w:type="character">
    <w:name w:val="Указатель7"/>
    <w:basedOn w:val="Style_5_ch"/>
    <w:link w:val="Style_278"/>
    <w:rPr>
      <w:sz w:val="24"/>
    </w:rPr>
  </w:style>
  <w:style w:default="1" w:styleId="Style_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media/1.png" Type="http://schemas.openxmlformats.org/officeDocument/2006/relationships/image"/>
  <Relationship Id="rId1" Target="header1.xml" Type="http://schemas.openxmlformats.org/officeDocument/2006/relationships/header"/>
  <Relationship Id="rId13" Target="numbering.xml" Type="http://schemas.openxmlformats.org/officeDocument/2006/relationships/numbering"/>
  <Relationship Id="rId12" Target="theme/theme1.xml" Type="http://schemas.openxmlformats.org/officeDocument/2006/relationships/theme"/>
  <Relationship Id="rId10" Target="stylesWithEffects.xml" Type="http://schemas.microsoft.com/office/2007/relationships/stylesWithEffects"/>
  <Relationship Id="rId2" Target="header2.xml" Type="http://schemas.openxmlformats.org/officeDocument/2006/relationships/header"/>
  <Relationship Id="rId3" Target="header3.xml" Type="http://schemas.openxmlformats.org/officeDocument/2006/relationships/header"/>
  <Relationship Id="rId8" Target="settings.xml" Type="http://schemas.openxmlformats.org/officeDocument/2006/relationships/settings"/>
  <Relationship Id="rId4" Target="header4.xml" Type="http://schemas.openxmlformats.org/officeDocument/2006/relationships/header"/>
  <Relationship Id="rId11" Target="webSettings.xml" Type="http://schemas.openxmlformats.org/officeDocument/2006/relationships/webSettings"/>
  <Relationship Id="rId9" Target="styles.xml" Type="http://schemas.openxmlformats.org/officeDocument/2006/relationships/styles"/>
  <Relationship Id="rId7" Target="fontTable.xml" Type="http://schemas.openxmlformats.org/officeDocument/2006/relationships/fontTable"/>
  <Relationship Id="rId5" Target="header5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MyOffice-CoreFramework-Linux/31-1191.804.9045.819.1@01270b6a23d25f32067dc36f8846da406ea65219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2025-01-29T11:33:31Z</dcterms:modified>
</cp:coreProperties>
</file>